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jc w:val="center"/>
        <w:rPr>
          <w:rFonts w:eastAsia="方正小标宋_GBK"/>
          <w:b/>
          <w:sz w:val="44"/>
          <w:szCs w:val="44"/>
        </w:rPr>
      </w:pPr>
      <w:r>
        <w:rPr>
          <w:rFonts w:eastAsia="方正小标宋_GBK"/>
          <w:b/>
          <w:sz w:val="44"/>
          <w:szCs w:val="44"/>
        </w:rPr>
        <w:t>江苏泰兴农村商业银行股份有限公司</w:t>
      </w:r>
    </w:p>
    <w:p>
      <w:pPr>
        <w:overflowPunct w:val="0"/>
        <w:topLinePunct/>
        <w:jc w:val="center"/>
        <w:rPr>
          <w:rFonts w:eastAsia="方正小标宋_GBK"/>
          <w:b/>
          <w:sz w:val="44"/>
          <w:szCs w:val="44"/>
        </w:rPr>
      </w:pPr>
      <w:r>
        <w:rPr>
          <w:rFonts w:hint="eastAsia" w:eastAsia="方正小标宋_GBK"/>
          <w:b/>
          <w:sz w:val="44"/>
          <w:szCs w:val="44"/>
        </w:rPr>
        <w:t>关联交易公告</w:t>
      </w:r>
    </w:p>
    <w:p>
      <w:pPr>
        <w:pStyle w:val="2"/>
        <w:overflowPunct w:val="0"/>
        <w:topLinePunct/>
        <w:spacing w:line="240" w:lineRule="auto"/>
        <w:ind w:firstLine="0" w:firstLineChars="0"/>
        <w:jc w:val="center"/>
        <w:rPr>
          <w:sz w:val="32"/>
          <w:szCs w:val="32"/>
        </w:rPr>
      </w:pPr>
      <w:r>
        <w:rPr>
          <w:sz w:val="32"/>
          <w:szCs w:val="32"/>
        </w:rPr>
        <w:t>（202</w:t>
      </w:r>
      <w:r>
        <w:rPr>
          <w:rFonts w:hint="eastAsia"/>
          <w:sz w:val="32"/>
          <w:szCs w:val="32"/>
          <w:lang w:val="en-US" w:eastAsia="zh-CN"/>
        </w:rPr>
        <w:t>6</w:t>
      </w:r>
      <w:r>
        <w:rPr>
          <w:sz w:val="32"/>
          <w:szCs w:val="32"/>
        </w:rPr>
        <w:t>年第</w:t>
      </w:r>
      <w:r>
        <w:rPr>
          <w:rFonts w:hint="eastAsia"/>
          <w:sz w:val="32"/>
          <w:szCs w:val="32"/>
          <w:lang w:val="en-US" w:eastAsia="zh-CN"/>
        </w:rPr>
        <w:t>2</w:t>
      </w:r>
      <w:r>
        <w:rPr>
          <w:sz w:val="32"/>
          <w:szCs w:val="32"/>
        </w:rPr>
        <w:t>号）</w:t>
      </w:r>
    </w:p>
    <w:p>
      <w:pPr>
        <w:pStyle w:val="2"/>
        <w:overflowPunct w:val="0"/>
        <w:topLinePunct/>
        <w:spacing w:line="240" w:lineRule="auto"/>
        <w:ind w:firstLine="672"/>
        <w:rPr>
          <w:sz w:val="32"/>
          <w:szCs w:val="32"/>
        </w:rPr>
      </w:pPr>
    </w:p>
    <w:p>
      <w:pPr>
        <w:pStyle w:val="10"/>
        <w:shd w:val="clear" w:color="auto" w:fill="FFFFFF"/>
        <w:overflowPunct w:val="0"/>
        <w:topLinePunct/>
        <w:spacing w:before="0" w:beforeAutospacing="0" w:after="0" w:afterAutospacing="0"/>
        <w:ind w:firstLine="670" w:firstLineChars="200"/>
        <w:jc w:val="both"/>
        <w:rPr>
          <w:rFonts w:ascii="仿宋_GB2312"/>
          <w:snapToGrid w:val="0"/>
          <w:sz w:val="32"/>
          <w:szCs w:val="32"/>
        </w:rPr>
      </w:pPr>
      <w:r>
        <w:rPr>
          <w:rFonts w:hint="eastAsia" w:ascii="仿宋_GB2312"/>
          <w:snapToGrid w:val="0"/>
          <w:sz w:val="32"/>
          <w:szCs w:val="32"/>
        </w:rPr>
        <w:t>根据《银行保险机构关联交易管理办法》（中国银行保险监督管理委员会令〔2022〕1号）要求，现将本行</w:t>
      </w:r>
      <w:r>
        <w:rPr>
          <w:rFonts w:hint="eastAsia" w:ascii="仿宋_GB2312"/>
          <w:snapToGrid w:val="0"/>
          <w:sz w:val="32"/>
          <w:szCs w:val="32"/>
          <w:lang w:val="en-US" w:eastAsia="zh-CN"/>
        </w:rPr>
        <w:t>2026</w:t>
      </w:r>
      <w:r>
        <w:rPr>
          <w:rFonts w:hint="eastAsia" w:ascii="仿宋_GB2312"/>
          <w:snapToGrid w:val="0"/>
          <w:sz w:val="32"/>
          <w:szCs w:val="32"/>
        </w:rPr>
        <w:t>年</w:t>
      </w:r>
      <w:r>
        <w:rPr>
          <w:rFonts w:hint="eastAsia" w:ascii="仿宋_GB2312"/>
          <w:snapToGrid w:val="0"/>
          <w:sz w:val="32"/>
          <w:szCs w:val="32"/>
          <w:lang w:eastAsia="zh-CN"/>
        </w:rPr>
        <w:t>一季度</w:t>
      </w:r>
      <w:r>
        <w:rPr>
          <w:rFonts w:hint="eastAsia" w:ascii="仿宋_GB2312"/>
          <w:snapToGrid w:val="0"/>
          <w:sz w:val="32"/>
          <w:szCs w:val="32"/>
        </w:rPr>
        <w:t>关联交易情况予以合并披露：</w:t>
      </w:r>
    </w:p>
    <w:p>
      <w:pPr>
        <w:pStyle w:val="10"/>
        <w:shd w:val="clear" w:color="auto" w:fill="FFFFFF"/>
        <w:overflowPunct w:val="0"/>
        <w:topLinePunct/>
        <w:spacing w:before="0" w:beforeAutospacing="0" w:after="0" w:afterAutospacing="0"/>
        <w:ind w:firstLine="670" w:firstLineChars="200"/>
        <w:jc w:val="both"/>
        <w:rPr>
          <w:rFonts w:ascii="黑体" w:hAnsi="黑体" w:eastAsia="黑体"/>
          <w:snapToGrid w:val="0"/>
          <w:sz w:val="32"/>
          <w:szCs w:val="32"/>
        </w:rPr>
      </w:pPr>
      <w:r>
        <w:rPr>
          <w:rFonts w:hint="eastAsia" w:ascii="黑体" w:hAnsi="黑体" w:eastAsia="黑体"/>
          <w:snapToGrid w:val="0"/>
          <w:sz w:val="32"/>
          <w:szCs w:val="32"/>
        </w:rPr>
        <w:t>一、关联交易类型及金额</w:t>
      </w:r>
    </w:p>
    <w:p>
      <w:pPr>
        <w:overflowPunct w:val="0"/>
        <w:topLinePunct/>
        <w:ind w:firstLine="670" w:firstLineChars="200"/>
        <w:rPr>
          <w:rFonts w:ascii="楷体" w:hAnsi="楷体" w:eastAsia="楷体"/>
          <w:snapToGrid w:val="0"/>
          <w:kern w:val="0"/>
          <w:sz w:val="32"/>
          <w:szCs w:val="32"/>
        </w:rPr>
      </w:pPr>
      <w:r>
        <w:rPr>
          <w:rFonts w:hint="eastAsia" w:ascii="楷体" w:hAnsi="楷体" w:eastAsia="楷体"/>
          <w:snapToGrid w:val="0"/>
          <w:kern w:val="0"/>
          <w:sz w:val="32"/>
          <w:szCs w:val="32"/>
        </w:rPr>
        <w:t>（一）授信类关联交易</w:t>
      </w:r>
    </w:p>
    <w:p>
      <w:pPr>
        <w:overflowPunct w:val="0"/>
        <w:topLinePunct/>
        <w:ind w:firstLine="670" w:firstLineChars="200"/>
        <w:rPr>
          <w:rFonts w:ascii="仿宋_GB2312"/>
          <w:snapToGrid w:val="0"/>
          <w:kern w:val="0"/>
          <w:sz w:val="32"/>
          <w:szCs w:val="32"/>
        </w:rPr>
      </w:pPr>
      <w:r>
        <w:rPr>
          <w:rFonts w:hint="eastAsia" w:ascii="仿宋_GB2312"/>
          <w:snapToGrid w:val="0"/>
          <w:kern w:val="0"/>
          <w:sz w:val="32"/>
          <w:szCs w:val="32"/>
        </w:rPr>
        <w:t>截至</w:t>
      </w:r>
      <w:r>
        <w:rPr>
          <w:rFonts w:hint="eastAsia" w:ascii="仿宋_GB2312"/>
          <w:snapToGrid w:val="0"/>
          <w:kern w:val="0"/>
          <w:sz w:val="32"/>
          <w:szCs w:val="32"/>
          <w:lang w:val="en-US" w:eastAsia="zh-CN"/>
        </w:rPr>
        <w:t>一季度</w:t>
      </w:r>
      <w:r>
        <w:rPr>
          <w:rFonts w:hint="eastAsia" w:ascii="仿宋_GB2312"/>
          <w:snapToGrid w:val="0"/>
          <w:kern w:val="0"/>
          <w:sz w:val="32"/>
          <w:szCs w:val="32"/>
        </w:rPr>
        <w:t>末，本行对关联方授信余额合计</w:t>
      </w:r>
      <w:r>
        <w:rPr>
          <w:rFonts w:hint="eastAsia" w:ascii="仿宋_GB2312"/>
          <w:snapToGrid w:val="0"/>
          <w:kern w:val="0"/>
          <w:sz w:val="32"/>
          <w:szCs w:val="32"/>
          <w:lang w:val="en-US" w:eastAsia="zh-CN"/>
        </w:rPr>
        <w:t>103,772</w:t>
      </w:r>
      <w:r>
        <w:rPr>
          <w:rFonts w:hint="eastAsia" w:ascii="仿宋_GB2312"/>
          <w:snapToGrid w:val="0"/>
          <w:kern w:val="0"/>
          <w:sz w:val="32"/>
          <w:szCs w:val="32"/>
        </w:rPr>
        <w:t>.</w:t>
      </w:r>
      <w:r>
        <w:rPr>
          <w:rFonts w:hint="eastAsia" w:ascii="仿宋_GB2312"/>
          <w:snapToGrid w:val="0"/>
          <w:kern w:val="0"/>
          <w:sz w:val="32"/>
          <w:szCs w:val="32"/>
          <w:lang w:val="en-US" w:eastAsia="zh-CN"/>
        </w:rPr>
        <w:t>36</w:t>
      </w:r>
      <w:r>
        <w:rPr>
          <w:rFonts w:hint="eastAsia" w:ascii="仿宋_GB2312"/>
          <w:snapToGrid w:val="0"/>
          <w:kern w:val="0"/>
          <w:sz w:val="32"/>
          <w:szCs w:val="32"/>
        </w:rPr>
        <w:t>万元。其中：一般关联交易</w:t>
      </w:r>
      <w:r>
        <w:rPr>
          <w:rFonts w:hint="eastAsia" w:ascii="仿宋_GB2312"/>
          <w:snapToGrid w:val="0"/>
          <w:kern w:val="0"/>
          <w:sz w:val="32"/>
          <w:szCs w:val="32"/>
          <w:lang w:val="en-US" w:eastAsia="zh-CN"/>
        </w:rPr>
        <w:t>22</w:t>
      </w:r>
      <w:r>
        <w:rPr>
          <w:rFonts w:hint="eastAsia" w:ascii="仿宋_GB2312"/>
          <w:snapToGrid w:val="0"/>
          <w:kern w:val="0"/>
          <w:sz w:val="32"/>
          <w:szCs w:val="32"/>
        </w:rPr>
        <w:t>,</w:t>
      </w:r>
      <w:r>
        <w:rPr>
          <w:rFonts w:hint="eastAsia" w:ascii="仿宋_GB2312"/>
          <w:snapToGrid w:val="0"/>
          <w:kern w:val="0"/>
          <w:sz w:val="32"/>
          <w:szCs w:val="32"/>
          <w:lang w:val="en-US" w:eastAsia="zh-CN"/>
        </w:rPr>
        <w:t>920</w:t>
      </w:r>
      <w:r>
        <w:rPr>
          <w:rFonts w:hint="eastAsia" w:ascii="仿宋_GB2312"/>
          <w:snapToGrid w:val="0"/>
          <w:kern w:val="0"/>
          <w:sz w:val="32"/>
          <w:szCs w:val="32"/>
        </w:rPr>
        <w:t>.</w:t>
      </w:r>
      <w:r>
        <w:rPr>
          <w:rFonts w:hint="eastAsia" w:ascii="仿宋_GB2312"/>
          <w:snapToGrid w:val="0"/>
          <w:kern w:val="0"/>
          <w:sz w:val="32"/>
          <w:szCs w:val="32"/>
          <w:lang w:val="en-US" w:eastAsia="zh-CN"/>
        </w:rPr>
        <w:t>36</w:t>
      </w:r>
      <w:r>
        <w:rPr>
          <w:rFonts w:hint="eastAsia" w:ascii="仿宋_GB2312"/>
          <w:snapToGrid w:val="0"/>
          <w:kern w:val="0"/>
          <w:sz w:val="32"/>
          <w:szCs w:val="32"/>
        </w:rPr>
        <w:t>万元，重大关联交易</w:t>
      </w:r>
      <w:r>
        <w:rPr>
          <w:rFonts w:hint="eastAsia" w:ascii="仿宋_GB2312"/>
          <w:snapToGrid w:val="0"/>
          <w:kern w:val="0"/>
          <w:sz w:val="32"/>
          <w:szCs w:val="32"/>
          <w:lang w:val="en-US" w:eastAsia="zh-CN"/>
        </w:rPr>
        <w:t>80</w:t>
      </w:r>
      <w:r>
        <w:rPr>
          <w:rFonts w:hint="eastAsia" w:ascii="仿宋_GB2312"/>
          <w:snapToGrid w:val="0"/>
          <w:kern w:val="0"/>
          <w:sz w:val="32"/>
          <w:szCs w:val="32"/>
        </w:rPr>
        <w:t>,</w:t>
      </w:r>
      <w:r>
        <w:rPr>
          <w:rFonts w:hint="eastAsia" w:ascii="仿宋_GB2312"/>
          <w:snapToGrid w:val="0"/>
          <w:kern w:val="0"/>
          <w:sz w:val="32"/>
          <w:szCs w:val="32"/>
          <w:lang w:val="en-US" w:eastAsia="zh-CN"/>
        </w:rPr>
        <w:t>852</w:t>
      </w:r>
      <w:r>
        <w:rPr>
          <w:rFonts w:hint="eastAsia" w:ascii="仿宋_GB2312"/>
          <w:snapToGrid w:val="0"/>
          <w:kern w:val="0"/>
          <w:sz w:val="32"/>
          <w:szCs w:val="32"/>
        </w:rPr>
        <w:t>.00万元。</w:t>
      </w:r>
    </w:p>
    <w:p>
      <w:pPr>
        <w:overflowPunct w:val="0"/>
        <w:topLinePunct/>
        <w:ind w:firstLine="670" w:firstLineChars="200"/>
        <w:rPr>
          <w:rFonts w:ascii="楷体" w:hAnsi="楷体" w:eastAsia="楷体"/>
          <w:snapToGrid w:val="0"/>
          <w:kern w:val="0"/>
          <w:sz w:val="32"/>
          <w:szCs w:val="32"/>
        </w:rPr>
      </w:pPr>
      <w:r>
        <w:rPr>
          <w:rFonts w:hint="eastAsia" w:ascii="楷体" w:hAnsi="楷体" w:eastAsia="楷体"/>
          <w:snapToGrid w:val="0"/>
          <w:kern w:val="0"/>
          <w:sz w:val="32"/>
          <w:szCs w:val="32"/>
        </w:rPr>
        <w:t>（二）资产转移类关联交易</w:t>
      </w:r>
    </w:p>
    <w:p>
      <w:pPr>
        <w:overflowPunct w:val="0"/>
        <w:topLinePunct/>
        <w:ind w:firstLine="670" w:firstLineChars="200"/>
        <w:rPr>
          <w:rFonts w:ascii="仿宋_GB2312"/>
          <w:snapToGrid w:val="0"/>
          <w:kern w:val="0"/>
          <w:sz w:val="32"/>
          <w:szCs w:val="32"/>
        </w:rPr>
      </w:pPr>
      <w:r>
        <w:rPr>
          <w:rFonts w:hint="eastAsia" w:ascii="仿宋_GB2312"/>
          <w:snapToGrid w:val="0"/>
          <w:kern w:val="0"/>
          <w:sz w:val="32"/>
          <w:szCs w:val="32"/>
          <w:lang w:val="en-US" w:eastAsia="zh-CN"/>
        </w:rPr>
        <w:t>2026年一</w:t>
      </w:r>
      <w:r>
        <w:rPr>
          <w:rFonts w:hint="eastAsia" w:ascii="仿宋_GB2312"/>
          <w:snapToGrid w:val="0"/>
          <w:kern w:val="0"/>
          <w:sz w:val="32"/>
          <w:szCs w:val="32"/>
          <w:lang w:eastAsia="zh-CN"/>
        </w:rPr>
        <w:t>季度</w:t>
      </w:r>
      <w:r>
        <w:rPr>
          <w:rFonts w:hint="eastAsia" w:ascii="仿宋_GB2312"/>
          <w:snapToGrid w:val="0"/>
          <w:kern w:val="0"/>
          <w:sz w:val="32"/>
          <w:szCs w:val="32"/>
        </w:rPr>
        <w:t>，本行未发生资产转移类关联交易。</w:t>
      </w:r>
    </w:p>
    <w:p>
      <w:pPr>
        <w:overflowPunct w:val="0"/>
        <w:topLinePunct/>
        <w:ind w:firstLine="670" w:firstLineChars="200"/>
        <w:rPr>
          <w:rFonts w:ascii="楷体" w:hAnsi="楷体" w:eastAsia="楷体"/>
          <w:snapToGrid w:val="0"/>
          <w:kern w:val="0"/>
          <w:sz w:val="32"/>
          <w:szCs w:val="32"/>
        </w:rPr>
      </w:pPr>
      <w:r>
        <w:rPr>
          <w:rFonts w:hint="eastAsia" w:ascii="楷体" w:hAnsi="楷体" w:eastAsia="楷体"/>
          <w:snapToGrid w:val="0"/>
          <w:kern w:val="0"/>
          <w:sz w:val="32"/>
          <w:szCs w:val="32"/>
        </w:rPr>
        <w:t>（三）服务类关联交易</w:t>
      </w:r>
    </w:p>
    <w:p>
      <w:pPr>
        <w:overflowPunct w:val="0"/>
        <w:topLinePunct/>
        <w:ind w:firstLine="670" w:firstLineChars="200"/>
        <w:rPr>
          <w:rFonts w:ascii="仿宋_GB2312"/>
          <w:snapToGrid w:val="0"/>
          <w:kern w:val="0"/>
          <w:sz w:val="32"/>
          <w:szCs w:val="32"/>
        </w:rPr>
      </w:pPr>
      <w:r>
        <w:rPr>
          <w:rFonts w:hint="eastAsia" w:ascii="仿宋_GB2312"/>
          <w:snapToGrid w:val="0"/>
          <w:kern w:val="0"/>
          <w:sz w:val="32"/>
          <w:szCs w:val="32"/>
        </w:rPr>
        <w:t>202</w:t>
      </w:r>
      <w:r>
        <w:rPr>
          <w:rFonts w:hint="eastAsia" w:ascii="仿宋_GB2312"/>
          <w:snapToGrid w:val="0"/>
          <w:kern w:val="0"/>
          <w:sz w:val="32"/>
          <w:szCs w:val="32"/>
          <w:lang w:val="en-US" w:eastAsia="zh-CN"/>
        </w:rPr>
        <w:t>6</w:t>
      </w:r>
      <w:r>
        <w:rPr>
          <w:rFonts w:hint="eastAsia" w:ascii="仿宋_GB2312"/>
          <w:snapToGrid w:val="0"/>
          <w:kern w:val="0"/>
          <w:sz w:val="32"/>
          <w:szCs w:val="32"/>
        </w:rPr>
        <w:t>年</w:t>
      </w:r>
      <w:r>
        <w:rPr>
          <w:rFonts w:hint="eastAsia" w:ascii="仿宋_GB2312"/>
          <w:snapToGrid w:val="0"/>
          <w:kern w:val="0"/>
          <w:sz w:val="32"/>
          <w:szCs w:val="32"/>
          <w:lang w:eastAsia="zh-CN"/>
        </w:rPr>
        <w:t>一季度</w:t>
      </w:r>
      <w:r>
        <w:rPr>
          <w:rFonts w:hint="eastAsia" w:ascii="仿宋_GB2312"/>
          <w:snapToGrid w:val="0"/>
          <w:kern w:val="0"/>
          <w:sz w:val="32"/>
          <w:szCs w:val="32"/>
        </w:rPr>
        <w:t>，本行接受关联方提供的服务类关联交易金额共计</w:t>
      </w:r>
      <w:r>
        <w:rPr>
          <w:rFonts w:hint="eastAsia" w:ascii="仿宋_GB2312"/>
          <w:snapToGrid w:val="0"/>
          <w:kern w:val="0"/>
          <w:sz w:val="32"/>
          <w:szCs w:val="32"/>
          <w:lang w:val="en-US" w:eastAsia="zh-CN"/>
        </w:rPr>
        <w:t>44.80</w:t>
      </w:r>
      <w:r>
        <w:rPr>
          <w:rFonts w:hint="eastAsia" w:ascii="仿宋_GB2312"/>
          <w:snapToGrid w:val="0"/>
          <w:kern w:val="0"/>
          <w:sz w:val="32"/>
          <w:szCs w:val="32"/>
        </w:rPr>
        <w:t>万元</w:t>
      </w:r>
      <w:r>
        <w:rPr>
          <w:rFonts w:hint="eastAsia" w:ascii="仿宋_GB2312"/>
          <w:snapToGrid w:val="0"/>
          <w:kern w:val="0"/>
          <w:sz w:val="32"/>
          <w:szCs w:val="32"/>
          <w:lang w:eastAsia="zh-CN"/>
        </w:rPr>
        <w:t>。</w:t>
      </w:r>
      <w:r>
        <w:rPr>
          <w:rFonts w:hint="eastAsia"/>
          <w:snapToGrid w:val="0"/>
          <w:kern w:val="0"/>
          <w:sz w:val="32"/>
          <w:szCs w:val="32"/>
          <w:lang w:eastAsia="zh-CN"/>
        </w:rPr>
        <w:t>其中：保安服务费用</w:t>
      </w:r>
      <w:r>
        <w:rPr>
          <w:rFonts w:hint="eastAsia"/>
          <w:snapToGrid w:val="0"/>
          <w:kern w:val="0"/>
          <w:sz w:val="32"/>
          <w:szCs w:val="32"/>
          <w:lang w:val="en-US" w:eastAsia="zh-CN"/>
        </w:rPr>
        <w:t>15.00</w:t>
      </w:r>
      <w:bookmarkStart w:id="0" w:name="_GoBack"/>
      <w:bookmarkEnd w:id="0"/>
      <w:r>
        <w:rPr>
          <w:rFonts w:hint="eastAsia"/>
          <w:snapToGrid w:val="0"/>
          <w:kern w:val="0"/>
          <w:sz w:val="32"/>
          <w:szCs w:val="32"/>
          <w:lang w:val="en-US" w:eastAsia="zh-CN"/>
        </w:rPr>
        <w:t>万元</w:t>
      </w:r>
      <w:r>
        <w:rPr>
          <w:rFonts w:hint="eastAsia"/>
          <w:snapToGrid w:val="0"/>
          <w:kern w:val="0"/>
          <w:sz w:val="32"/>
          <w:szCs w:val="32"/>
          <w:lang w:eastAsia="zh-CN"/>
        </w:rPr>
        <w:t>，宣传推广服务</w:t>
      </w:r>
      <w:r>
        <w:rPr>
          <w:rFonts w:hint="eastAsia"/>
          <w:snapToGrid w:val="0"/>
          <w:kern w:val="0"/>
          <w:sz w:val="32"/>
          <w:szCs w:val="32"/>
          <w:lang w:val="en-US" w:eastAsia="zh-CN"/>
        </w:rPr>
        <w:t>29.80万元</w:t>
      </w:r>
      <w:r>
        <w:rPr>
          <w:rFonts w:hint="eastAsia" w:ascii="仿宋_GB2312"/>
          <w:snapToGrid w:val="0"/>
          <w:kern w:val="0"/>
          <w:sz w:val="32"/>
          <w:szCs w:val="32"/>
        </w:rPr>
        <w:t>。</w:t>
      </w:r>
    </w:p>
    <w:p>
      <w:pPr>
        <w:overflowPunct w:val="0"/>
        <w:topLinePunct/>
        <w:ind w:firstLine="670" w:firstLineChars="200"/>
        <w:rPr>
          <w:rFonts w:ascii="楷体" w:hAnsi="楷体" w:eastAsia="楷体"/>
          <w:snapToGrid w:val="0"/>
          <w:kern w:val="0"/>
          <w:sz w:val="32"/>
          <w:szCs w:val="32"/>
        </w:rPr>
      </w:pPr>
      <w:r>
        <w:rPr>
          <w:rFonts w:hint="eastAsia" w:ascii="楷体" w:hAnsi="楷体" w:eastAsia="楷体"/>
          <w:snapToGrid w:val="0"/>
          <w:kern w:val="0"/>
          <w:sz w:val="32"/>
          <w:szCs w:val="32"/>
        </w:rPr>
        <w:t>（四）存款和其他类型关联交易</w:t>
      </w:r>
    </w:p>
    <w:p>
      <w:pPr>
        <w:pStyle w:val="2"/>
        <w:overflowPunct w:val="0"/>
        <w:topLinePunct/>
        <w:spacing w:line="240" w:lineRule="auto"/>
        <w:ind w:firstLine="672"/>
        <w:rPr>
          <w:rFonts w:ascii="仿宋_GB2312"/>
          <w:snapToGrid w:val="0"/>
          <w:kern w:val="0"/>
          <w:sz w:val="32"/>
          <w:szCs w:val="32"/>
        </w:rPr>
      </w:pPr>
      <w:r>
        <w:rPr>
          <w:rFonts w:hint="eastAsia" w:ascii="仿宋_GB2312"/>
          <w:snapToGrid w:val="0"/>
          <w:kern w:val="0"/>
          <w:sz w:val="32"/>
          <w:szCs w:val="32"/>
        </w:rPr>
        <w:t>202</w:t>
      </w:r>
      <w:r>
        <w:rPr>
          <w:rFonts w:hint="eastAsia" w:ascii="仿宋_GB2312"/>
          <w:snapToGrid w:val="0"/>
          <w:kern w:val="0"/>
          <w:sz w:val="32"/>
          <w:szCs w:val="32"/>
          <w:lang w:val="en-US" w:eastAsia="zh-CN"/>
        </w:rPr>
        <w:t>6</w:t>
      </w:r>
      <w:r>
        <w:rPr>
          <w:rFonts w:hint="eastAsia" w:ascii="仿宋_GB2312"/>
          <w:snapToGrid w:val="0"/>
          <w:kern w:val="0"/>
          <w:sz w:val="32"/>
          <w:szCs w:val="32"/>
        </w:rPr>
        <w:t>年</w:t>
      </w:r>
      <w:r>
        <w:rPr>
          <w:rFonts w:hint="eastAsia" w:ascii="仿宋_GB2312"/>
          <w:snapToGrid w:val="0"/>
          <w:kern w:val="0"/>
          <w:sz w:val="32"/>
          <w:szCs w:val="32"/>
          <w:lang w:eastAsia="zh-CN"/>
        </w:rPr>
        <w:t>一季度</w:t>
      </w:r>
      <w:r>
        <w:rPr>
          <w:rFonts w:hint="eastAsia" w:ascii="仿宋_GB2312"/>
          <w:snapToGrid w:val="0"/>
          <w:kern w:val="0"/>
          <w:sz w:val="32"/>
          <w:szCs w:val="32"/>
        </w:rPr>
        <w:t>，关联方在本行非活期存款发生额共</w:t>
      </w:r>
      <w:r>
        <w:rPr>
          <w:rFonts w:hint="eastAsia" w:ascii="仿宋_GB2312"/>
          <w:snapToGrid w:val="0"/>
          <w:kern w:val="0"/>
          <w:sz w:val="32"/>
          <w:szCs w:val="32"/>
          <w:lang w:val="en-US" w:eastAsia="zh-CN"/>
        </w:rPr>
        <w:t>292.98</w:t>
      </w:r>
      <w:r>
        <w:rPr>
          <w:rFonts w:hint="eastAsia" w:ascii="仿宋_GB2312"/>
          <w:snapToGrid w:val="0"/>
          <w:kern w:val="0"/>
          <w:sz w:val="32"/>
          <w:szCs w:val="32"/>
        </w:rPr>
        <w:t>万元。</w:t>
      </w:r>
    </w:p>
    <w:p>
      <w:pPr>
        <w:pStyle w:val="2"/>
        <w:overflowPunct w:val="0"/>
        <w:topLinePunct/>
        <w:spacing w:line="240" w:lineRule="auto"/>
        <w:ind w:firstLine="672"/>
        <w:rPr>
          <w:rFonts w:ascii="仿宋_GB2312"/>
          <w:sz w:val="32"/>
          <w:szCs w:val="32"/>
        </w:rPr>
      </w:pPr>
      <w:r>
        <w:rPr>
          <w:rFonts w:hint="eastAsia" w:ascii="黑体" w:hAnsi="黑体" w:eastAsia="黑体"/>
          <w:snapToGrid w:val="0"/>
          <w:kern w:val="0"/>
          <w:sz w:val="32"/>
          <w:szCs w:val="32"/>
        </w:rPr>
        <w:t>二、监管比例执行情况</w:t>
      </w:r>
    </w:p>
    <w:p>
      <w:pPr>
        <w:overflowPunct w:val="0"/>
        <w:topLinePunct/>
        <w:ind w:firstLine="670" w:firstLineChars="200"/>
        <w:rPr>
          <w:rFonts w:ascii="仿宋_GB2312"/>
          <w:snapToGrid w:val="0"/>
          <w:kern w:val="0"/>
          <w:sz w:val="32"/>
          <w:szCs w:val="32"/>
        </w:rPr>
      </w:pPr>
      <w:r>
        <w:rPr>
          <w:rFonts w:hint="eastAsia" w:ascii="仿宋_GB2312"/>
          <w:snapToGrid w:val="0"/>
          <w:kern w:val="0"/>
          <w:sz w:val="32"/>
          <w:szCs w:val="32"/>
        </w:rPr>
        <w:t>截至202</w:t>
      </w:r>
      <w:r>
        <w:rPr>
          <w:rFonts w:hint="eastAsia" w:ascii="仿宋_GB2312"/>
          <w:snapToGrid w:val="0"/>
          <w:kern w:val="0"/>
          <w:sz w:val="32"/>
          <w:szCs w:val="32"/>
          <w:lang w:val="en-US" w:eastAsia="zh-CN"/>
        </w:rPr>
        <w:t>6</w:t>
      </w:r>
      <w:r>
        <w:rPr>
          <w:rFonts w:hint="eastAsia" w:ascii="仿宋_GB2312"/>
          <w:snapToGrid w:val="0"/>
          <w:kern w:val="0"/>
          <w:sz w:val="32"/>
          <w:szCs w:val="32"/>
        </w:rPr>
        <w:t>年</w:t>
      </w:r>
      <w:r>
        <w:rPr>
          <w:rFonts w:hint="eastAsia" w:ascii="仿宋_GB2312"/>
          <w:snapToGrid w:val="0"/>
          <w:kern w:val="0"/>
          <w:sz w:val="32"/>
          <w:szCs w:val="32"/>
          <w:lang w:eastAsia="zh-CN"/>
        </w:rPr>
        <w:t>一季度</w:t>
      </w:r>
      <w:r>
        <w:rPr>
          <w:rFonts w:hint="eastAsia" w:ascii="仿宋_GB2312"/>
          <w:snapToGrid w:val="0"/>
          <w:kern w:val="0"/>
          <w:sz w:val="32"/>
          <w:szCs w:val="32"/>
        </w:rPr>
        <w:t>末，本行对最大单个关联方授信余额占资本净</w:t>
      </w:r>
      <w:r>
        <w:rPr>
          <w:rFonts w:hint="eastAsia" w:ascii="仿宋_GB2312"/>
          <w:snapToGrid w:val="0"/>
          <w:kern w:val="0"/>
          <w:sz w:val="32"/>
          <w:szCs w:val="32"/>
          <w:highlight w:val="none"/>
        </w:rPr>
        <w:t>额的</w:t>
      </w:r>
      <w:r>
        <w:rPr>
          <w:rFonts w:hint="eastAsia" w:ascii="仿宋_GB2312"/>
          <w:snapToGrid w:val="0"/>
          <w:kern w:val="0"/>
          <w:sz w:val="32"/>
          <w:szCs w:val="32"/>
          <w:highlight w:val="none"/>
          <w:lang w:val="en-US" w:eastAsia="zh-CN"/>
        </w:rPr>
        <w:t>3.69</w:t>
      </w:r>
      <w:r>
        <w:rPr>
          <w:rFonts w:hint="eastAsia" w:ascii="仿宋_GB2312"/>
          <w:snapToGrid w:val="0"/>
          <w:kern w:val="0"/>
          <w:sz w:val="32"/>
          <w:szCs w:val="32"/>
          <w:highlight w:val="none"/>
        </w:rPr>
        <w:t>%，对最大单个关联法人或非法人组织所在集团的合计授信余额占资本净额的1</w:t>
      </w:r>
      <w:r>
        <w:rPr>
          <w:rFonts w:hint="eastAsia" w:ascii="仿宋_GB2312"/>
          <w:snapToGrid w:val="0"/>
          <w:kern w:val="0"/>
          <w:sz w:val="32"/>
          <w:szCs w:val="32"/>
          <w:highlight w:val="none"/>
          <w:lang w:val="en-US" w:eastAsia="zh-CN"/>
        </w:rPr>
        <w:t>2</w:t>
      </w:r>
      <w:r>
        <w:rPr>
          <w:rFonts w:hint="eastAsia" w:ascii="仿宋_GB2312"/>
          <w:snapToGrid w:val="0"/>
          <w:kern w:val="0"/>
          <w:sz w:val="32"/>
          <w:szCs w:val="32"/>
          <w:highlight w:val="none"/>
        </w:rPr>
        <w:t>.</w:t>
      </w:r>
      <w:r>
        <w:rPr>
          <w:rFonts w:hint="eastAsia" w:ascii="仿宋_GB2312"/>
          <w:snapToGrid w:val="0"/>
          <w:kern w:val="0"/>
          <w:sz w:val="32"/>
          <w:szCs w:val="32"/>
          <w:highlight w:val="none"/>
          <w:lang w:val="en-US" w:eastAsia="zh-CN"/>
        </w:rPr>
        <w:t>94</w:t>
      </w:r>
      <w:r>
        <w:rPr>
          <w:rFonts w:hint="eastAsia" w:ascii="仿宋_GB2312"/>
          <w:snapToGrid w:val="0"/>
          <w:kern w:val="0"/>
          <w:sz w:val="32"/>
          <w:szCs w:val="32"/>
          <w:highlight w:val="none"/>
        </w:rPr>
        <w:t>%，对全部关联方的授信余额占资本净额的</w:t>
      </w:r>
      <w:r>
        <w:rPr>
          <w:rFonts w:hint="eastAsia" w:ascii="仿宋_GB2312"/>
          <w:snapToGrid w:val="0"/>
          <w:kern w:val="0"/>
          <w:sz w:val="32"/>
          <w:szCs w:val="32"/>
          <w:highlight w:val="none"/>
          <w:lang w:val="en-US" w:eastAsia="zh-CN"/>
        </w:rPr>
        <w:t>20.01</w:t>
      </w:r>
      <w:r>
        <w:rPr>
          <w:rFonts w:hint="eastAsia" w:ascii="仿宋_GB2312"/>
          <w:snapToGrid w:val="0"/>
          <w:kern w:val="0"/>
          <w:sz w:val="32"/>
          <w:szCs w:val="32"/>
          <w:highlight w:val="none"/>
        </w:rPr>
        <w:t>%，各</w:t>
      </w:r>
      <w:r>
        <w:rPr>
          <w:rFonts w:hint="eastAsia" w:ascii="仿宋_GB2312"/>
          <w:snapToGrid w:val="0"/>
          <w:kern w:val="0"/>
          <w:sz w:val="32"/>
          <w:szCs w:val="32"/>
        </w:rPr>
        <w:t>项指标均符合监管要求。</w:t>
      </w:r>
    </w:p>
    <w:p>
      <w:pPr>
        <w:pStyle w:val="2"/>
        <w:overflowPunct w:val="0"/>
        <w:topLinePunct/>
        <w:spacing w:line="240" w:lineRule="auto"/>
        <w:ind w:firstLine="672"/>
        <w:rPr>
          <w:rFonts w:ascii="仿宋_GB2312"/>
          <w:sz w:val="32"/>
          <w:szCs w:val="32"/>
        </w:rPr>
      </w:pPr>
    </w:p>
    <w:p>
      <w:pPr>
        <w:pStyle w:val="2"/>
        <w:overflowPunct w:val="0"/>
        <w:topLinePunct/>
        <w:spacing w:line="240" w:lineRule="auto"/>
        <w:ind w:firstLine="672"/>
        <w:rPr>
          <w:rFonts w:ascii="仿宋_GB2312"/>
          <w:sz w:val="32"/>
          <w:szCs w:val="32"/>
        </w:rPr>
      </w:pPr>
    </w:p>
    <w:p>
      <w:pPr>
        <w:pStyle w:val="2"/>
        <w:overflowPunct w:val="0"/>
        <w:topLinePunct/>
        <w:spacing w:line="240" w:lineRule="auto"/>
        <w:ind w:firstLine="672"/>
        <w:rPr>
          <w:rFonts w:ascii="仿宋_GB2312"/>
          <w:sz w:val="32"/>
          <w:szCs w:val="32"/>
        </w:rPr>
      </w:pPr>
    </w:p>
    <w:p>
      <w:pPr>
        <w:overflowPunct w:val="0"/>
        <w:topLinePunct/>
        <w:ind w:firstLine="2680" w:firstLineChars="800"/>
        <w:rPr>
          <w:rFonts w:ascii="仿宋_GB2312"/>
          <w:sz w:val="32"/>
          <w:szCs w:val="32"/>
        </w:rPr>
      </w:pPr>
      <w:r>
        <w:rPr>
          <w:rFonts w:hint="eastAsia" w:ascii="仿宋_GB2312"/>
          <w:sz w:val="32"/>
          <w:szCs w:val="32"/>
        </w:rPr>
        <w:t>江苏泰兴农村商业银行股份有限公司</w:t>
      </w:r>
    </w:p>
    <w:p>
      <w:pPr>
        <w:overflowPunct w:val="0"/>
        <w:topLinePunct/>
        <w:ind w:firstLine="4187" w:firstLineChars="1250"/>
        <w:rPr>
          <w:rFonts w:ascii="仿宋_GB2312"/>
          <w:sz w:val="32"/>
          <w:szCs w:val="32"/>
        </w:rPr>
      </w:pPr>
      <w:r>
        <w:rPr>
          <w:rFonts w:hint="eastAsia" w:ascii="仿宋_GB2312"/>
          <w:sz w:val="32"/>
          <w:szCs w:val="32"/>
        </w:rPr>
        <w:t>202</w:t>
      </w:r>
      <w:r>
        <w:rPr>
          <w:rFonts w:hint="eastAsia" w:ascii="仿宋_GB2312"/>
          <w:sz w:val="32"/>
          <w:szCs w:val="32"/>
          <w:lang w:val="en-US" w:eastAsia="zh-CN"/>
        </w:rPr>
        <w:t>6</w:t>
      </w:r>
      <w:r>
        <w:rPr>
          <w:rFonts w:hint="eastAsia" w:ascii="仿宋_GB2312"/>
          <w:sz w:val="32"/>
          <w:szCs w:val="32"/>
        </w:rPr>
        <w:t>年</w:t>
      </w:r>
      <w:r>
        <w:rPr>
          <w:rFonts w:hint="eastAsia" w:ascii="仿宋_GB2312"/>
          <w:sz w:val="32"/>
          <w:szCs w:val="32"/>
          <w:lang w:val="en-US" w:eastAsia="zh-CN"/>
        </w:rPr>
        <w:t>4</w:t>
      </w:r>
      <w:r>
        <w:rPr>
          <w:rFonts w:hint="eastAsia" w:ascii="仿宋_GB2312"/>
          <w:sz w:val="32"/>
          <w:szCs w:val="32"/>
        </w:rPr>
        <w:t>月</w:t>
      </w:r>
      <w:r>
        <w:rPr>
          <w:rFonts w:hint="eastAsia" w:ascii="仿宋_GB2312"/>
          <w:sz w:val="32"/>
          <w:szCs w:val="32"/>
          <w:lang w:val="en-US" w:eastAsia="zh-CN"/>
        </w:rPr>
        <w:t>20</w:t>
      </w:r>
      <w:r>
        <w:rPr>
          <w:rFonts w:hint="eastAsia" w:ascii="仿宋_GB2312"/>
          <w:sz w:val="32"/>
          <w:szCs w:val="32"/>
        </w:rPr>
        <w:t>日</w:t>
      </w:r>
    </w:p>
    <w:sectPr>
      <w:footerReference r:id="rId3" w:type="default"/>
      <w:footerReference r:id="rId4" w:type="even"/>
      <w:pgSz w:w="11906" w:h="16838"/>
      <w:pgMar w:top="2098" w:right="1701" w:bottom="2098" w:left="1701" w:header="1191" w:footer="1361" w:gutter="0"/>
      <w:cols w:space="720"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3151E-52FC-4B3C-A83C-C7D3EA3A78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AC12F1A1-D406-445E-BAA1-B5B56B7928D0}"/>
  </w:font>
  <w:font w:name="方正小标宋_GBK">
    <w:panose1 w:val="03000509000000000000"/>
    <w:charset w:val="86"/>
    <w:family w:val="script"/>
    <w:pitch w:val="default"/>
    <w:sig w:usb0="00000000" w:usb1="00000000" w:usb2="00000000" w:usb3="00000000" w:csb0="00000000" w:csb1="00000000"/>
    <w:embedRegular r:id="rId3" w:fontKey="{9184E0B3-E1CB-4439-B0F0-0993730F479B}"/>
  </w:font>
  <w:font w:name="楷体">
    <w:panose1 w:val="02010609060101010101"/>
    <w:charset w:val="86"/>
    <w:family w:val="modern"/>
    <w:pitch w:val="default"/>
    <w:sig w:usb0="800002BF" w:usb1="38CF7CFA" w:usb2="00000016" w:usb3="00000000" w:csb0="00040001" w:csb1="00000000"/>
    <w:embedRegular r:id="rId4" w:fontKey="{92E3E7CD-78E0-4E1A-9E5F-B75750587F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jc w:val="center"/>
      <w:rPr>
        <w:rStyle w:val="15"/>
        <w:sz w:val="24"/>
      </w:rPr>
    </w:pPr>
    <w:r>
      <w:rPr>
        <w:rStyle w:val="15"/>
        <w:rFonts w:hint="eastAsia" w:ascii="仿宋_GB2312"/>
        <w:sz w:val="24"/>
      </w:rPr>
      <w:t>—</w:t>
    </w:r>
    <w:r>
      <w:rPr>
        <w:rStyle w:val="15"/>
        <w:rFonts w:ascii="宋体"/>
        <w:sz w:val="24"/>
      </w:rPr>
      <w:fldChar w:fldCharType="begin"/>
    </w:r>
    <w:r>
      <w:rPr>
        <w:rStyle w:val="15"/>
        <w:rFonts w:ascii="宋体"/>
        <w:sz w:val="24"/>
      </w:rPr>
      <w:instrText xml:space="preserve">PAGE  </w:instrText>
    </w:r>
    <w:r>
      <w:rPr>
        <w:rStyle w:val="15"/>
        <w:rFonts w:ascii="宋体"/>
        <w:sz w:val="24"/>
      </w:rPr>
      <w:fldChar w:fldCharType="separate"/>
    </w:r>
    <w:r>
      <w:rPr>
        <w:rStyle w:val="15"/>
        <w:rFonts w:ascii="宋体"/>
        <w:sz w:val="24"/>
      </w:rPr>
      <w:t>1</w:t>
    </w:r>
    <w:r>
      <w:rPr>
        <w:rStyle w:val="15"/>
        <w:rFonts w:ascii="宋体"/>
        <w:sz w:val="24"/>
      </w:rPr>
      <w:fldChar w:fldCharType="end"/>
    </w:r>
    <w:r>
      <w:rPr>
        <w:rStyle w:val="15"/>
        <w:rFonts w:hint="eastAsia" w:ascii="仿宋_GB2312"/>
        <w:sz w:val="24"/>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sz w:val="24"/>
      </w:rPr>
    </w:pPr>
    <w:r>
      <w:rPr>
        <w:rStyle w:val="15"/>
        <w:rFonts w:hint="eastAsia" w:ascii="仿宋_GB2312"/>
        <w:sz w:val="24"/>
      </w:rPr>
      <w:t>—</w:t>
    </w:r>
    <w:r>
      <w:rPr>
        <w:rStyle w:val="15"/>
        <w:rFonts w:ascii="宋体"/>
        <w:sz w:val="24"/>
      </w:rPr>
      <w:fldChar w:fldCharType="begin"/>
    </w:r>
    <w:r>
      <w:rPr>
        <w:rStyle w:val="15"/>
        <w:rFonts w:ascii="宋体"/>
        <w:sz w:val="24"/>
      </w:rPr>
      <w:instrText xml:space="preserve">PAGE  </w:instrText>
    </w:r>
    <w:r>
      <w:rPr>
        <w:rStyle w:val="15"/>
        <w:rFonts w:ascii="宋体"/>
        <w:sz w:val="24"/>
      </w:rPr>
      <w:fldChar w:fldCharType="separate"/>
    </w:r>
    <w:r>
      <w:rPr>
        <w:rStyle w:val="15"/>
        <w:rFonts w:ascii="宋体"/>
        <w:sz w:val="24"/>
      </w:rPr>
      <w:t>2</w:t>
    </w:r>
    <w:r>
      <w:rPr>
        <w:rStyle w:val="15"/>
        <w:rFonts w:ascii="宋体"/>
        <w:sz w:val="24"/>
      </w:rPr>
      <w:fldChar w:fldCharType="end"/>
    </w:r>
    <w:r>
      <w:rPr>
        <w:rStyle w:val="15"/>
        <w:rFonts w:hint="eastAsia" w:ascii="仿宋_GB2312"/>
        <w:sz w:val="24"/>
      </w:rPr>
      <w:t>—</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41ED"/>
    <w:rsid w:val="00001757"/>
    <w:rsid w:val="00002B80"/>
    <w:rsid w:val="000058CD"/>
    <w:rsid w:val="00040007"/>
    <w:rsid w:val="00044D81"/>
    <w:rsid w:val="0007122D"/>
    <w:rsid w:val="0008064D"/>
    <w:rsid w:val="000A46FA"/>
    <w:rsid w:val="000B0B75"/>
    <w:rsid w:val="000B141C"/>
    <w:rsid w:val="000B6DFF"/>
    <w:rsid w:val="000E0B1E"/>
    <w:rsid w:val="000E4721"/>
    <w:rsid w:val="000F2715"/>
    <w:rsid w:val="000F6E81"/>
    <w:rsid w:val="00122527"/>
    <w:rsid w:val="00123694"/>
    <w:rsid w:val="00125C79"/>
    <w:rsid w:val="001324FC"/>
    <w:rsid w:val="001343DA"/>
    <w:rsid w:val="00134478"/>
    <w:rsid w:val="00157EF7"/>
    <w:rsid w:val="00162764"/>
    <w:rsid w:val="00181563"/>
    <w:rsid w:val="00184350"/>
    <w:rsid w:val="00194AE9"/>
    <w:rsid w:val="001A1012"/>
    <w:rsid w:val="001B30F5"/>
    <w:rsid w:val="001D4AED"/>
    <w:rsid w:val="001D6E45"/>
    <w:rsid w:val="001E2D60"/>
    <w:rsid w:val="001F0A72"/>
    <w:rsid w:val="001F6B95"/>
    <w:rsid w:val="00203E2D"/>
    <w:rsid w:val="00232981"/>
    <w:rsid w:val="00237373"/>
    <w:rsid w:val="002652A0"/>
    <w:rsid w:val="0028253C"/>
    <w:rsid w:val="00297A56"/>
    <w:rsid w:val="002A49AA"/>
    <w:rsid w:val="002B698E"/>
    <w:rsid w:val="002D11B1"/>
    <w:rsid w:val="002D3FAF"/>
    <w:rsid w:val="002F216B"/>
    <w:rsid w:val="002F4775"/>
    <w:rsid w:val="0030745B"/>
    <w:rsid w:val="00310A9C"/>
    <w:rsid w:val="003176B1"/>
    <w:rsid w:val="003413F3"/>
    <w:rsid w:val="00350726"/>
    <w:rsid w:val="00355957"/>
    <w:rsid w:val="00375EC4"/>
    <w:rsid w:val="003A1ED1"/>
    <w:rsid w:val="003C54A1"/>
    <w:rsid w:val="003F4E30"/>
    <w:rsid w:val="003F5890"/>
    <w:rsid w:val="003F7086"/>
    <w:rsid w:val="004054A1"/>
    <w:rsid w:val="00437F8F"/>
    <w:rsid w:val="00443876"/>
    <w:rsid w:val="00453FB3"/>
    <w:rsid w:val="00471EA6"/>
    <w:rsid w:val="004836BC"/>
    <w:rsid w:val="00485065"/>
    <w:rsid w:val="00487298"/>
    <w:rsid w:val="004C45D3"/>
    <w:rsid w:val="004C6B9E"/>
    <w:rsid w:val="00505223"/>
    <w:rsid w:val="00505EA9"/>
    <w:rsid w:val="00534127"/>
    <w:rsid w:val="005341ED"/>
    <w:rsid w:val="0053453A"/>
    <w:rsid w:val="005A13DD"/>
    <w:rsid w:val="005A1B93"/>
    <w:rsid w:val="005B09B8"/>
    <w:rsid w:val="005C2051"/>
    <w:rsid w:val="005D4FF4"/>
    <w:rsid w:val="00611393"/>
    <w:rsid w:val="0061480D"/>
    <w:rsid w:val="00621063"/>
    <w:rsid w:val="00626679"/>
    <w:rsid w:val="00634B10"/>
    <w:rsid w:val="0064561F"/>
    <w:rsid w:val="00673164"/>
    <w:rsid w:val="00681589"/>
    <w:rsid w:val="006C3BA0"/>
    <w:rsid w:val="006D29E9"/>
    <w:rsid w:val="006D3DB1"/>
    <w:rsid w:val="006E3B4F"/>
    <w:rsid w:val="006E728A"/>
    <w:rsid w:val="00704070"/>
    <w:rsid w:val="00704659"/>
    <w:rsid w:val="00715217"/>
    <w:rsid w:val="00721436"/>
    <w:rsid w:val="007242F8"/>
    <w:rsid w:val="00730CB6"/>
    <w:rsid w:val="00736CCE"/>
    <w:rsid w:val="00741EB9"/>
    <w:rsid w:val="00745D12"/>
    <w:rsid w:val="00751C23"/>
    <w:rsid w:val="007637B4"/>
    <w:rsid w:val="00770685"/>
    <w:rsid w:val="0077739B"/>
    <w:rsid w:val="00783DE6"/>
    <w:rsid w:val="00785142"/>
    <w:rsid w:val="007B0C9E"/>
    <w:rsid w:val="007C6637"/>
    <w:rsid w:val="007D391C"/>
    <w:rsid w:val="007E7A75"/>
    <w:rsid w:val="007F0315"/>
    <w:rsid w:val="0080482E"/>
    <w:rsid w:val="0081064C"/>
    <w:rsid w:val="00810776"/>
    <w:rsid w:val="008245D6"/>
    <w:rsid w:val="00834472"/>
    <w:rsid w:val="00837687"/>
    <w:rsid w:val="008774B3"/>
    <w:rsid w:val="00885BE8"/>
    <w:rsid w:val="008900E3"/>
    <w:rsid w:val="008966FB"/>
    <w:rsid w:val="008A6CEF"/>
    <w:rsid w:val="008C0E4F"/>
    <w:rsid w:val="008E1AD3"/>
    <w:rsid w:val="008F238D"/>
    <w:rsid w:val="0093643E"/>
    <w:rsid w:val="00940473"/>
    <w:rsid w:val="00954774"/>
    <w:rsid w:val="00965551"/>
    <w:rsid w:val="00971BC2"/>
    <w:rsid w:val="00976486"/>
    <w:rsid w:val="009A07DF"/>
    <w:rsid w:val="009D7A84"/>
    <w:rsid w:val="009E075F"/>
    <w:rsid w:val="009E5788"/>
    <w:rsid w:val="009F0669"/>
    <w:rsid w:val="009F3158"/>
    <w:rsid w:val="00A1781F"/>
    <w:rsid w:val="00A2303A"/>
    <w:rsid w:val="00A41C04"/>
    <w:rsid w:val="00A607CA"/>
    <w:rsid w:val="00A67C75"/>
    <w:rsid w:val="00A70D27"/>
    <w:rsid w:val="00A719BE"/>
    <w:rsid w:val="00A75431"/>
    <w:rsid w:val="00A86360"/>
    <w:rsid w:val="00AA4EC9"/>
    <w:rsid w:val="00AC14D2"/>
    <w:rsid w:val="00AC4D8B"/>
    <w:rsid w:val="00B22FF8"/>
    <w:rsid w:val="00B43BCA"/>
    <w:rsid w:val="00B62BBE"/>
    <w:rsid w:val="00B75F36"/>
    <w:rsid w:val="00B769E7"/>
    <w:rsid w:val="00B95B9E"/>
    <w:rsid w:val="00B96519"/>
    <w:rsid w:val="00BB238B"/>
    <w:rsid w:val="00C01644"/>
    <w:rsid w:val="00C12B40"/>
    <w:rsid w:val="00C26EB4"/>
    <w:rsid w:val="00C41710"/>
    <w:rsid w:val="00C43383"/>
    <w:rsid w:val="00C94E27"/>
    <w:rsid w:val="00CC418B"/>
    <w:rsid w:val="00CD6723"/>
    <w:rsid w:val="00CE23CF"/>
    <w:rsid w:val="00CE3C7A"/>
    <w:rsid w:val="00D120D6"/>
    <w:rsid w:val="00D2263A"/>
    <w:rsid w:val="00D2276D"/>
    <w:rsid w:val="00D44375"/>
    <w:rsid w:val="00D5388E"/>
    <w:rsid w:val="00D84D5D"/>
    <w:rsid w:val="00D85238"/>
    <w:rsid w:val="00DA1D6E"/>
    <w:rsid w:val="00DB1B0C"/>
    <w:rsid w:val="00DB532D"/>
    <w:rsid w:val="00DC329F"/>
    <w:rsid w:val="00DD453E"/>
    <w:rsid w:val="00DE3603"/>
    <w:rsid w:val="00DE4BB8"/>
    <w:rsid w:val="00DE5DAF"/>
    <w:rsid w:val="00DF3E2A"/>
    <w:rsid w:val="00E022AA"/>
    <w:rsid w:val="00E1286D"/>
    <w:rsid w:val="00E315C1"/>
    <w:rsid w:val="00E3417D"/>
    <w:rsid w:val="00E35842"/>
    <w:rsid w:val="00E47C1C"/>
    <w:rsid w:val="00E765A2"/>
    <w:rsid w:val="00EA7524"/>
    <w:rsid w:val="00ED289E"/>
    <w:rsid w:val="00ED5175"/>
    <w:rsid w:val="00EF384E"/>
    <w:rsid w:val="00EF6CC1"/>
    <w:rsid w:val="00F003FC"/>
    <w:rsid w:val="00F11D3C"/>
    <w:rsid w:val="00F17459"/>
    <w:rsid w:val="00F24DE6"/>
    <w:rsid w:val="00F306A7"/>
    <w:rsid w:val="00F50AF1"/>
    <w:rsid w:val="00FA5740"/>
    <w:rsid w:val="00FA7939"/>
    <w:rsid w:val="00FB2AC5"/>
    <w:rsid w:val="00FB4F7F"/>
    <w:rsid w:val="00FC083E"/>
    <w:rsid w:val="00FD261D"/>
    <w:rsid w:val="00FE1B9D"/>
    <w:rsid w:val="00FE2896"/>
    <w:rsid w:val="00FE64E6"/>
    <w:rsid w:val="00FF1F6A"/>
    <w:rsid w:val="00FF3510"/>
    <w:rsid w:val="02CB07DC"/>
    <w:rsid w:val="02ED544E"/>
    <w:rsid w:val="035509C5"/>
    <w:rsid w:val="08BC75C6"/>
    <w:rsid w:val="0A3A4E28"/>
    <w:rsid w:val="0E801650"/>
    <w:rsid w:val="0F031820"/>
    <w:rsid w:val="0F281CA5"/>
    <w:rsid w:val="0FFE6BF3"/>
    <w:rsid w:val="10AD09F0"/>
    <w:rsid w:val="118E1968"/>
    <w:rsid w:val="11AF6307"/>
    <w:rsid w:val="13A95228"/>
    <w:rsid w:val="149065CF"/>
    <w:rsid w:val="15BA054C"/>
    <w:rsid w:val="16381AF2"/>
    <w:rsid w:val="1A6C044C"/>
    <w:rsid w:val="1B134DB1"/>
    <w:rsid w:val="1B533AE9"/>
    <w:rsid w:val="1B8A571B"/>
    <w:rsid w:val="1BF4566B"/>
    <w:rsid w:val="1C283447"/>
    <w:rsid w:val="1C906E9D"/>
    <w:rsid w:val="1D896A46"/>
    <w:rsid w:val="1FDE191A"/>
    <w:rsid w:val="20AD0A3C"/>
    <w:rsid w:val="20E2653C"/>
    <w:rsid w:val="20F817C4"/>
    <w:rsid w:val="2427034E"/>
    <w:rsid w:val="263B4E2B"/>
    <w:rsid w:val="274E2885"/>
    <w:rsid w:val="28E51BA4"/>
    <w:rsid w:val="295911AF"/>
    <w:rsid w:val="2B484656"/>
    <w:rsid w:val="2D0C7905"/>
    <w:rsid w:val="2D330149"/>
    <w:rsid w:val="2E153E9F"/>
    <w:rsid w:val="2E350E75"/>
    <w:rsid w:val="2EF07FE9"/>
    <w:rsid w:val="2FDA78B5"/>
    <w:rsid w:val="30850D2D"/>
    <w:rsid w:val="32BB0DD5"/>
    <w:rsid w:val="32EC19C0"/>
    <w:rsid w:val="350C70EE"/>
    <w:rsid w:val="36BB2700"/>
    <w:rsid w:val="382A5CAA"/>
    <w:rsid w:val="388108B3"/>
    <w:rsid w:val="3CA0523D"/>
    <w:rsid w:val="3CB72D75"/>
    <w:rsid w:val="3DF408A4"/>
    <w:rsid w:val="3E530817"/>
    <w:rsid w:val="411779CC"/>
    <w:rsid w:val="435A444B"/>
    <w:rsid w:val="46093BCF"/>
    <w:rsid w:val="47D15881"/>
    <w:rsid w:val="4B687719"/>
    <w:rsid w:val="4BF941F6"/>
    <w:rsid w:val="4CFC4A75"/>
    <w:rsid w:val="4F473F6C"/>
    <w:rsid w:val="4F897A27"/>
    <w:rsid w:val="4FCC722F"/>
    <w:rsid w:val="4FE82BBC"/>
    <w:rsid w:val="51B37BC4"/>
    <w:rsid w:val="51D641A4"/>
    <w:rsid w:val="52B61649"/>
    <w:rsid w:val="53E867AA"/>
    <w:rsid w:val="53F6097A"/>
    <w:rsid w:val="543515E5"/>
    <w:rsid w:val="55502285"/>
    <w:rsid w:val="56450F7A"/>
    <w:rsid w:val="56B62B82"/>
    <w:rsid w:val="57C25F41"/>
    <w:rsid w:val="5FCD02E6"/>
    <w:rsid w:val="618F3B53"/>
    <w:rsid w:val="62153668"/>
    <w:rsid w:val="62302280"/>
    <w:rsid w:val="639B596A"/>
    <w:rsid w:val="65676FB7"/>
    <w:rsid w:val="6634031A"/>
    <w:rsid w:val="67A9501C"/>
    <w:rsid w:val="67C367B2"/>
    <w:rsid w:val="68CE4F66"/>
    <w:rsid w:val="6BC54CFF"/>
    <w:rsid w:val="6CBC0372"/>
    <w:rsid w:val="6DB85EAE"/>
    <w:rsid w:val="6EA94CC4"/>
    <w:rsid w:val="6EC07DFB"/>
    <w:rsid w:val="6F213344"/>
    <w:rsid w:val="72E77CAA"/>
    <w:rsid w:val="73A76609"/>
    <w:rsid w:val="7741193C"/>
    <w:rsid w:val="77774EBF"/>
    <w:rsid w:val="777A4E60"/>
    <w:rsid w:val="78AB09E7"/>
    <w:rsid w:val="78CF39B3"/>
    <w:rsid w:val="798A0CF2"/>
    <w:rsid w:val="7B396429"/>
    <w:rsid w:val="7C041A45"/>
    <w:rsid w:val="7C63246B"/>
    <w:rsid w:val="7E1870CC"/>
    <w:rsid w:val="7EFB31FF"/>
    <w:rsid w:val="7F416F3A"/>
    <w:rsid w:val="7F751F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99" w:semiHidden="0" w:name="footnote text"/>
    <w:lsdException w:qFormat="1" w:unhideWhenUsed="0" w:uiPriority="0" w:semiHidden="0" w:name="annotation text"/>
    <w:lsdException w:qFormat="1" w:uiPriority="99"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67"/>
    </w:pPr>
    <w:rPr>
      <w:sz w:val="28"/>
    </w:rPr>
  </w:style>
  <w:style w:type="paragraph" w:styleId="4">
    <w:name w:val="annotation text"/>
    <w:basedOn w:val="1"/>
    <w:link w:val="21"/>
    <w:qFormat/>
    <w:uiPriority w:val="0"/>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qFormat/>
    <w:uiPriority w:val="99"/>
    <w:pPr>
      <w:snapToGrid w:val="0"/>
      <w:jc w:val="left"/>
    </w:pPr>
    <w:rPr>
      <w:rFonts w:eastAsia="宋体"/>
      <w:sz w:val="18"/>
    </w:rPr>
  </w:style>
  <w:style w:type="paragraph" w:styleId="9">
    <w:name w:val="Body Text 2"/>
    <w:basedOn w:val="1"/>
    <w:link w:val="19"/>
    <w:qFormat/>
    <w:uiPriority w:val="0"/>
    <w:pPr>
      <w:tabs>
        <w:tab w:val="right" w:pos="8505"/>
      </w:tabs>
    </w:pPr>
    <w:rPr>
      <w:rFonts w:ascii="仿宋_GB2312"/>
      <w:b/>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annotation reference"/>
    <w:qFormat/>
    <w:uiPriority w:val="0"/>
    <w:rPr>
      <w:sz w:val="21"/>
      <w:szCs w:val="21"/>
    </w:rPr>
  </w:style>
  <w:style w:type="character" w:styleId="17">
    <w:name w:val="footnote reference"/>
    <w:qFormat/>
    <w:uiPriority w:val="99"/>
    <w:rPr>
      <w:vertAlign w:val="superscript"/>
    </w:rPr>
  </w:style>
  <w:style w:type="character" w:customStyle="1" w:styleId="18">
    <w:name w:val="页脚 Char"/>
    <w:link w:val="6"/>
    <w:qFormat/>
    <w:uiPriority w:val="0"/>
    <w:rPr>
      <w:rFonts w:ascii="Times New Roman" w:hAnsi="Times New Roman" w:eastAsia="仿宋_GB2312" w:cs="Times New Roman"/>
      <w:sz w:val="18"/>
      <w:szCs w:val="20"/>
    </w:rPr>
  </w:style>
  <w:style w:type="character" w:customStyle="1" w:styleId="19">
    <w:name w:val="正文文本 2 Char"/>
    <w:link w:val="9"/>
    <w:qFormat/>
    <w:uiPriority w:val="0"/>
    <w:rPr>
      <w:rFonts w:ascii="仿宋_GB2312" w:hAnsi="Times New Roman" w:eastAsia="仿宋_GB2312" w:cs="Times New Roman"/>
      <w:b/>
      <w:sz w:val="30"/>
      <w:szCs w:val="20"/>
    </w:rPr>
  </w:style>
  <w:style w:type="character" w:customStyle="1" w:styleId="20">
    <w:name w:val="脚注文本 Char"/>
    <w:link w:val="8"/>
    <w:qFormat/>
    <w:uiPriority w:val="99"/>
    <w:rPr>
      <w:rFonts w:ascii="Times New Roman" w:hAnsi="Times New Roman" w:eastAsia="宋体" w:cs="Times New Roman"/>
      <w:sz w:val="18"/>
      <w:szCs w:val="20"/>
    </w:rPr>
  </w:style>
  <w:style w:type="character" w:customStyle="1" w:styleId="21">
    <w:name w:val="批注文字 Char"/>
    <w:link w:val="4"/>
    <w:qFormat/>
    <w:uiPriority w:val="0"/>
    <w:rPr>
      <w:rFonts w:ascii="Times New Roman" w:hAnsi="Times New Roman" w:eastAsia="仿宋_GB2312" w:cs="Times New Roman"/>
      <w:sz w:val="30"/>
      <w:szCs w:val="20"/>
    </w:rPr>
  </w:style>
  <w:style w:type="character" w:customStyle="1" w:styleId="22">
    <w:name w:val="批注框文本 Char"/>
    <w:link w:val="5"/>
    <w:semiHidden/>
    <w:qFormat/>
    <w:uiPriority w:val="99"/>
    <w:rPr>
      <w:rFonts w:ascii="Times New Roman" w:hAnsi="Times New Roman" w:eastAsia="仿宋_GB2312" w:cs="Times New Roman"/>
      <w:sz w:val="18"/>
      <w:szCs w:val="18"/>
    </w:rPr>
  </w:style>
  <w:style w:type="character" w:customStyle="1" w:styleId="23">
    <w:name w:val="页眉 Char"/>
    <w:link w:val="7"/>
    <w:semiHidden/>
    <w:qFormat/>
    <w:uiPriority w:val="99"/>
    <w:rPr>
      <w:rFonts w:ascii="Times New Roman" w:hAnsi="Times New Roman" w:eastAsia="仿宋_GB2312" w:cs="Times New Roman"/>
      <w:sz w:val="18"/>
      <w:szCs w:val="18"/>
    </w:rPr>
  </w:style>
  <w:style w:type="character" w:customStyle="1" w:styleId="24">
    <w:name w:val="font51"/>
    <w:basedOn w:val="13"/>
    <w:qFormat/>
    <w:uiPriority w:val="0"/>
    <w:rPr>
      <w:rFonts w:ascii="仿宋_GB2312" w:eastAsia="仿宋_GB2312" w:cs="仿宋_GB2312"/>
      <w:b/>
      <w:bCs/>
      <w:color w:val="000000"/>
      <w:sz w:val="20"/>
      <w:szCs w:val="20"/>
      <w:u w:val="none"/>
    </w:rPr>
  </w:style>
  <w:style w:type="character" w:customStyle="1" w:styleId="25">
    <w:name w:val="font61"/>
    <w:basedOn w:val="13"/>
    <w:qFormat/>
    <w:uiPriority w:val="0"/>
    <w:rPr>
      <w:rFonts w:hint="eastAsia" w:ascii="仿宋_GB2312" w:eastAsia="仿宋_GB2312" w:cs="仿宋_GB2312"/>
      <w:b/>
      <w:bCs/>
      <w:color w:val="000000"/>
      <w:sz w:val="20"/>
      <w:szCs w:val="20"/>
      <w:u w:val="none"/>
    </w:rPr>
  </w:style>
  <w:style w:type="character" w:customStyle="1" w:styleId="26">
    <w:name w:val="font71"/>
    <w:basedOn w:val="1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424</Words>
  <Characters>495</Characters>
  <Lines>4</Lines>
  <Paragraphs>1</Paragraphs>
  <TotalTime>4</TotalTime>
  <ScaleCrop>false</ScaleCrop>
  <LinksUpToDate>false</LinksUpToDate>
  <CharactersWithSpaces>495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2019-02-20T09:35:00Z</dcterms:created>
  <dc:creator>李瑶</dc:creator>
  <cp:lastModifiedBy>Administrator</cp:lastModifiedBy>
  <cp:lastPrinted>2025-01-24T02:50:00Z</cp:lastPrinted>
  <dcterms:modified xsi:type="dcterms:W3CDTF">2026-04-23T09:05:20Z</dcterms:modified>
  <dc:title>江苏泰兴农村商业银行股份有限公司关于2018年关联交易情况的报告</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263835371_cloud</vt:lpwstr>
  </property>
  <property fmtid="{D5CDD505-2E9C-101B-9397-08002B2CF9AE}" pid="4" name="ICV">
    <vt:lpwstr>835D7CA2F68E49EEB1F0693D998B8621</vt:lpwstr>
  </property>
  <property fmtid="{D5CDD505-2E9C-101B-9397-08002B2CF9AE}" pid="5" name="KSOTemplateDocerSaveRecord">
    <vt:lpwstr>eyJoZGlkIjoiZTQ0ZTJjYTQ2NjE5OGY0NTc0YzQxYmRiODU3NzJlODIiLCJ1c2VySWQiOiIzNjg2NzY3NDEifQ==</vt:lpwstr>
  </property>
</Properties>
</file>