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B56" w:rsidRPr="000F2EA6" w:rsidRDefault="000609F4" w:rsidP="00FB0422">
      <w:pPr>
        <w:pStyle w:val="1"/>
        <w:widowControl/>
        <w:shd w:val="clear" w:color="auto" w:fill="FFFFFF"/>
        <w:spacing w:beforeAutospacing="0" w:afterAutospacing="0" w:line="560" w:lineRule="exact"/>
        <w:jc w:val="center"/>
        <w:rPr>
          <w:rFonts w:ascii="Times New Roman" w:eastAsia="方正小标宋_GBK" w:hAnsi="Times New Roman" w:hint="default"/>
          <w:sz w:val="44"/>
          <w:szCs w:val="44"/>
        </w:rPr>
      </w:pPr>
      <w:r w:rsidRPr="000F2EA6">
        <w:rPr>
          <w:rFonts w:ascii="Times New Roman" w:eastAsia="方正小标宋_GBK" w:hAnsi="Times New Roman" w:hint="default"/>
          <w:sz w:val="44"/>
          <w:szCs w:val="44"/>
        </w:rPr>
        <w:t>江苏</w:t>
      </w:r>
      <w:r w:rsidR="00383815" w:rsidRPr="000F2EA6">
        <w:rPr>
          <w:rFonts w:ascii="Times New Roman" w:eastAsia="方正小标宋_GBK" w:hAnsi="Times New Roman" w:hint="default"/>
          <w:sz w:val="44"/>
          <w:szCs w:val="44"/>
        </w:rPr>
        <w:t>泰兴</w:t>
      </w:r>
      <w:r w:rsidRPr="000F2EA6">
        <w:rPr>
          <w:rFonts w:ascii="Times New Roman" w:eastAsia="方正小标宋_GBK" w:hAnsi="Times New Roman" w:hint="default"/>
          <w:sz w:val="44"/>
          <w:szCs w:val="44"/>
        </w:rPr>
        <w:t>农村商业银行股份有限公司</w:t>
      </w:r>
    </w:p>
    <w:p w:rsidR="00956B56" w:rsidRPr="000F2EA6" w:rsidRDefault="000609F4" w:rsidP="00FB0422">
      <w:pPr>
        <w:pStyle w:val="1"/>
        <w:widowControl/>
        <w:shd w:val="clear" w:color="auto" w:fill="FFFFFF"/>
        <w:spacing w:beforeAutospacing="0" w:afterAutospacing="0" w:line="560" w:lineRule="exact"/>
        <w:jc w:val="center"/>
        <w:rPr>
          <w:rFonts w:ascii="Times New Roman" w:eastAsia="方正小标宋_GBK" w:hAnsi="Times New Roman" w:hint="default"/>
          <w:sz w:val="44"/>
          <w:szCs w:val="44"/>
        </w:rPr>
      </w:pPr>
      <w:r w:rsidRPr="000F2EA6">
        <w:rPr>
          <w:rFonts w:ascii="Times New Roman" w:eastAsia="方正小标宋_GBK" w:hAnsi="Times New Roman" w:hint="default"/>
          <w:sz w:val="44"/>
          <w:szCs w:val="44"/>
        </w:rPr>
        <w:t>202</w:t>
      </w:r>
      <w:r w:rsidR="000F5B47" w:rsidRPr="000F2EA6">
        <w:rPr>
          <w:rFonts w:ascii="Times New Roman" w:eastAsia="方正小标宋_GBK" w:hAnsi="Times New Roman" w:hint="default"/>
          <w:sz w:val="44"/>
          <w:szCs w:val="44"/>
        </w:rPr>
        <w:t>6</w:t>
      </w:r>
      <w:r w:rsidRPr="000F2EA6">
        <w:rPr>
          <w:rFonts w:ascii="Times New Roman" w:eastAsia="方正小标宋_GBK" w:hAnsi="Times New Roman" w:hint="default"/>
          <w:sz w:val="44"/>
          <w:szCs w:val="44"/>
        </w:rPr>
        <w:t>年</w:t>
      </w:r>
      <w:r w:rsidR="00CD639C" w:rsidRPr="000F2EA6">
        <w:rPr>
          <w:rFonts w:ascii="Times New Roman" w:eastAsia="方正小标宋_GBK" w:hAnsi="Times New Roman" w:hint="default"/>
          <w:sz w:val="44"/>
          <w:szCs w:val="44"/>
        </w:rPr>
        <w:t>一季</w:t>
      </w:r>
      <w:r w:rsidRPr="000F2EA6">
        <w:rPr>
          <w:rFonts w:ascii="Times New Roman" w:eastAsia="方正小标宋_GBK" w:hAnsi="Times New Roman" w:hint="default"/>
          <w:sz w:val="44"/>
          <w:szCs w:val="44"/>
        </w:rPr>
        <w:t>度第三支柱信息披露报告</w:t>
      </w:r>
    </w:p>
    <w:p w:rsidR="00956B56" w:rsidRPr="000F2EA6" w:rsidRDefault="000609F4" w:rsidP="00FB0422">
      <w:pPr>
        <w:pStyle w:val="a3"/>
        <w:widowControl/>
        <w:spacing w:beforeAutospacing="0" w:afterAutospacing="0" w:line="560" w:lineRule="exact"/>
        <w:ind w:firstLineChars="200" w:firstLine="640"/>
        <w:jc w:val="both"/>
        <w:rPr>
          <w:rFonts w:ascii="Times New Roman" w:eastAsia="仿宋_GB2312" w:hAnsi="Times New Roman"/>
          <w:sz w:val="32"/>
          <w:szCs w:val="32"/>
        </w:rPr>
      </w:pPr>
      <w:r w:rsidRPr="000F2EA6">
        <w:rPr>
          <w:rFonts w:ascii="Times New Roman" w:eastAsia="仿宋_GB2312" w:hAnsi="Times New Roman"/>
          <w:sz w:val="32"/>
          <w:szCs w:val="32"/>
        </w:rPr>
        <w:t>根据</w:t>
      </w:r>
      <w:r w:rsidR="003D4B92" w:rsidRPr="000F2EA6">
        <w:rPr>
          <w:rFonts w:ascii="Times New Roman" w:eastAsia="仿宋_GB2312" w:hAnsi="Times New Roman"/>
          <w:sz w:val="32"/>
          <w:szCs w:val="32"/>
        </w:rPr>
        <w:t>国家金融监督管理总局发布的</w:t>
      </w:r>
      <w:r w:rsidRPr="000F2EA6">
        <w:rPr>
          <w:rFonts w:ascii="Times New Roman" w:eastAsia="仿宋_GB2312" w:hAnsi="Times New Roman"/>
          <w:sz w:val="32"/>
          <w:szCs w:val="32"/>
        </w:rPr>
        <w:t>《商业银行资本管理办法》</w:t>
      </w:r>
      <w:r w:rsidR="003D4B92" w:rsidRPr="000F2EA6">
        <w:rPr>
          <w:rFonts w:ascii="Times New Roman" w:eastAsia="仿宋_GB2312" w:hAnsi="Times New Roman"/>
          <w:sz w:val="32"/>
          <w:szCs w:val="32"/>
        </w:rPr>
        <w:t>（国家金融监督管理总局令</w:t>
      </w:r>
      <w:r w:rsidR="003D4B92" w:rsidRPr="000F2EA6">
        <w:rPr>
          <w:rFonts w:ascii="Times New Roman" w:eastAsia="仿宋_GB2312" w:hAnsi="Times New Roman"/>
          <w:sz w:val="32"/>
          <w:szCs w:val="32"/>
        </w:rPr>
        <w:t>2023</w:t>
      </w:r>
      <w:r w:rsidR="003D4B92" w:rsidRPr="000F2EA6">
        <w:rPr>
          <w:rFonts w:ascii="Times New Roman" w:eastAsia="仿宋_GB2312" w:hAnsi="Times New Roman"/>
          <w:sz w:val="32"/>
          <w:szCs w:val="32"/>
        </w:rPr>
        <w:t>年第</w:t>
      </w:r>
      <w:r w:rsidR="003D4B92" w:rsidRPr="000F2EA6">
        <w:rPr>
          <w:rFonts w:ascii="Times New Roman" w:eastAsia="仿宋_GB2312" w:hAnsi="Times New Roman"/>
          <w:sz w:val="32"/>
          <w:szCs w:val="32"/>
        </w:rPr>
        <w:t>4</w:t>
      </w:r>
      <w:r w:rsidR="003D4B92" w:rsidRPr="000F2EA6">
        <w:rPr>
          <w:rFonts w:ascii="Times New Roman" w:eastAsia="仿宋_GB2312" w:hAnsi="Times New Roman"/>
          <w:sz w:val="32"/>
          <w:szCs w:val="32"/>
        </w:rPr>
        <w:t>号）</w:t>
      </w:r>
      <w:r w:rsidRPr="000F2EA6">
        <w:rPr>
          <w:rFonts w:ascii="Times New Roman" w:eastAsia="仿宋_GB2312" w:hAnsi="Times New Roman"/>
          <w:sz w:val="32"/>
          <w:szCs w:val="32"/>
        </w:rPr>
        <w:t>附件</w:t>
      </w:r>
      <w:r w:rsidRPr="000F2EA6">
        <w:rPr>
          <w:rFonts w:ascii="Times New Roman" w:eastAsia="仿宋_GB2312" w:hAnsi="Times New Roman"/>
          <w:sz w:val="32"/>
          <w:szCs w:val="32"/>
        </w:rPr>
        <w:t>22</w:t>
      </w:r>
      <w:r w:rsidRPr="000F2EA6">
        <w:rPr>
          <w:rFonts w:ascii="Times New Roman" w:eastAsia="仿宋_GB2312" w:hAnsi="Times New Roman"/>
          <w:sz w:val="32"/>
          <w:szCs w:val="32"/>
        </w:rPr>
        <w:t>《商业银行信息披露内容和要求》</w:t>
      </w:r>
      <w:r w:rsidR="003D4B92" w:rsidRPr="000F2EA6">
        <w:rPr>
          <w:rFonts w:ascii="Times New Roman" w:eastAsia="仿宋_GB2312" w:hAnsi="Times New Roman"/>
          <w:sz w:val="32"/>
          <w:szCs w:val="32"/>
        </w:rPr>
        <w:t>的规定</w:t>
      </w:r>
      <w:r w:rsidRPr="000F2EA6">
        <w:rPr>
          <w:rFonts w:ascii="Times New Roman" w:eastAsia="仿宋_GB2312" w:hAnsi="Times New Roman"/>
          <w:sz w:val="32"/>
          <w:szCs w:val="32"/>
        </w:rPr>
        <w:t>，本行</w:t>
      </w:r>
      <w:r w:rsidR="003D4B92" w:rsidRPr="000F2EA6">
        <w:rPr>
          <w:rFonts w:ascii="Times New Roman" w:eastAsia="仿宋_GB2312" w:hAnsi="Times New Roman"/>
          <w:sz w:val="32"/>
          <w:szCs w:val="32"/>
        </w:rPr>
        <w:t>为非国内系统重要</w:t>
      </w:r>
      <w:r w:rsidR="00011A46" w:rsidRPr="000F2EA6">
        <w:rPr>
          <w:rFonts w:ascii="Times New Roman" w:eastAsia="仿宋_GB2312" w:hAnsi="Times New Roman"/>
          <w:sz w:val="32"/>
          <w:szCs w:val="32"/>
        </w:rPr>
        <w:t>性</w:t>
      </w:r>
      <w:r w:rsidR="003D4B92" w:rsidRPr="000F2EA6">
        <w:rPr>
          <w:rFonts w:ascii="Times New Roman" w:eastAsia="仿宋_GB2312" w:hAnsi="Times New Roman"/>
          <w:sz w:val="32"/>
          <w:szCs w:val="32"/>
        </w:rPr>
        <w:t>银行，划分标准适用于二档商业银行，应</w:t>
      </w:r>
      <w:r w:rsidRPr="000F2EA6">
        <w:rPr>
          <w:rFonts w:ascii="Times New Roman" w:eastAsia="仿宋_GB2312" w:hAnsi="Times New Roman"/>
          <w:sz w:val="32"/>
          <w:szCs w:val="32"/>
        </w:rPr>
        <w:t>向投资者和社会公众披露本行资本充足率相关信息。本报告披露的报表经本行高级管理层确认。</w:t>
      </w:r>
    </w:p>
    <w:p w:rsidR="00956B56" w:rsidRPr="000F2EA6" w:rsidRDefault="000609F4" w:rsidP="00FB0422">
      <w:pPr>
        <w:pStyle w:val="a3"/>
        <w:widowControl/>
        <w:spacing w:beforeAutospacing="0" w:afterAutospacing="0" w:line="560" w:lineRule="exact"/>
        <w:ind w:firstLineChars="200" w:firstLine="640"/>
        <w:jc w:val="both"/>
        <w:rPr>
          <w:rFonts w:ascii="Times New Roman" w:eastAsia="仿宋_GB2312" w:hAnsi="Times New Roman"/>
          <w:sz w:val="32"/>
          <w:szCs w:val="32"/>
        </w:rPr>
      </w:pPr>
      <w:r w:rsidRPr="000F2EA6">
        <w:rPr>
          <w:rFonts w:ascii="Times New Roman" w:eastAsia="仿宋_GB2312" w:hAnsi="Times New Roman"/>
          <w:sz w:val="32"/>
          <w:szCs w:val="32"/>
        </w:rPr>
        <w:t>本季度本行需披露的报表</w:t>
      </w:r>
      <w:r w:rsidR="003D4B92" w:rsidRPr="000F2EA6">
        <w:rPr>
          <w:rFonts w:ascii="Times New Roman" w:eastAsia="仿宋_GB2312" w:hAnsi="Times New Roman"/>
          <w:sz w:val="32"/>
          <w:szCs w:val="32"/>
        </w:rPr>
        <w:t>为</w:t>
      </w:r>
      <w:r w:rsidR="00FB0422" w:rsidRPr="000F2EA6">
        <w:rPr>
          <w:rFonts w:ascii="Times New Roman" w:eastAsia="仿宋_GB2312" w:hAnsi="Times New Roman"/>
          <w:sz w:val="32"/>
          <w:szCs w:val="32"/>
        </w:rPr>
        <w:t>KM1</w:t>
      </w:r>
      <w:r w:rsidR="003D4B92" w:rsidRPr="000F2EA6">
        <w:rPr>
          <w:rFonts w:ascii="Times New Roman" w:eastAsia="仿宋_GB2312" w:hAnsi="Times New Roman"/>
          <w:sz w:val="32"/>
          <w:szCs w:val="32"/>
        </w:rPr>
        <w:t>监管并表关键审慎监管指标，具体</w:t>
      </w:r>
      <w:r w:rsidRPr="000F2EA6">
        <w:rPr>
          <w:rFonts w:ascii="Times New Roman" w:eastAsia="仿宋_GB2312" w:hAnsi="Times New Roman"/>
          <w:sz w:val="32"/>
          <w:szCs w:val="32"/>
        </w:rPr>
        <w:t>如下</w:t>
      </w:r>
      <w:r w:rsidRPr="000F2EA6">
        <w:rPr>
          <w:rFonts w:ascii="Times New Roman" w:eastAsia="仿宋_GB2312" w:hAnsi="Times New Roman"/>
          <w:sz w:val="32"/>
          <w:szCs w:val="32"/>
        </w:rPr>
        <w:t>:</w:t>
      </w:r>
    </w:p>
    <w:p w:rsidR="00956B56" w:rsidRPr="000F2EA6" w:rsidRDefault="000609F4" w:rsidP="00FB0422">
      <w:pPr>
        <w:snapToGrid w:val="0"/>
        <w:spacing w:line="560" w:lineRule="exact"/>
        <w:outlineLvl w:val="1"/>
        <w:rPr>
          <w:rFonts w:ascii="Times New Roman" w:eastAsia="仿宋_GB2312" w:hAnsi="Times New Roman" w:cs="Times New Roman"/>
          <w:color w:val="000000" w:themeColor="text1"/>
          <w:sz w:val="32"/>
          <w:szCs w:val="32"/>
        </w:rPr>
      </w:pPr>
      <w:r w:rsidRPr="000F2EA6">
        <w:rPr>
          <w:rFonts w:ascii="Times New Roman" w:eastAsia="仿宋_GB2312" w:hAnsi="Times New Roman" w:cs="Times New Roman"/>
          <w:color w:val="000000" w:themeColor="text1"/>
          <w:sz w:val="32"/>
          <w:szCs w:val="32"/>
        </w:rPr>
        <w:t>KM1</w:t>
      </w:r>
      <w:r w:rsidRPr="000F2EA6">
        <w:rPr>
          <w:rFonts w:ascii="Times New Roman" w:eastAsia="仿宋_GB2312" w:hAnsi="Times New Roman" w:cs="Times New Roman"/>
          <w:color w:val="000000" w:themeColor="text1"/>
          <w:sz w:val="32"/>
          <w:szCs w:val="32"/>
        </w:rPr>
        <w:t>：监管并表关键审慎监管指标</w:t>
      </w:r>
    </w:p>
    <w:p w:rsidR="00956B56" w:rsidRPr="000F2EA6" w:rsidRDefault="000609F4" w:rsidP="00FB0422">
      <w:pPr>
        <w:snapToGrid w:val="0"/>
        <w:spacing w:line="560" w:lineRule="exact"/>
        <w:jc w:val="right"/>
        <w:outlineLvl w:val="1"/>
        <w:rPr>
          <w:rFonts w:ascii="Times New Roman" w:eastAsia="仿宋_GB2312" w:hAnsi="Times New Roman" w:cs="Times New Roman"/>
          <w:color w:val="000000" w:themeColor="text1"/>
          <w:sz w:val="32"/>
          <w:szCs w:val="32"/>
        </w:rPr>
      </w:pPr>
      <w:r w:rsidRPr="000F2EA6">
        <w:rPr>
          <w:rFonts w:ascii="Times New Roman" w:eastAsia="仿宋_GB2312" w:hAnsi="Times New Roman" w:cs="Times New Roman"/>
          <w:color w:val="000000" w:themeColor="text1"/>
          <w:sz w:val="32"/>
          <w:szCs w:val="32"/>
        </w:rPr>
        <w:t>单位：人民币万元，</w:t>
      </w:r>
      <w:r w:rsidRPr="000F2EA6">
        <w:rPr>
          <w:rFonts w:ascii="Times New Roman" w:eastAsia="仿宋_GB2312" w:hAnsi="Times New Roman" w:cs="Times New Roman"/>
          <w:color w:val="000000" w:themeColor="text1"/>
          <w:sz w:val="32"/>
          <w:szCs w:val="32"/>
        </w:rPr>
        <w:t>%</w:t>
      </w:r>
    </w:p>
    <w:tbl>
      <w:tblPr>
        <w:tblW w:w="5000" w:type="pct"/>
        <w:jc w:val="center"/>
        <w:tblLook w:val="04A0"/>
      </w:tblPr>
      <w:tblGrid>
        <w:gridCol w:w="781"/>
        <w:gridCol w:w="1652"/>
        <w:gridCol w:w="1555"/>
        <w:gridCol w:w="1432"/>
        <w:gridCol w:w="1679"/>
        <w:gridCol w:w="1423"/>
      </w:tblGrid>
      <w:tr w:rsidR="00DC4A6C" w:rsidRPr="000F2EA6" w:rsidTr="003423EC">
        <w:trPr>
          <w:trHeight w:val="345"/>
          <w:jc w:val="center"/>
        </w:trPr>
        <w:tc>
          <w:tcPr>
            <w:tcW w:w="1313" w:type="pct"/>
            <w:gridSpan w:val="2"/>
            <w:tcBorders>
              <w:top w:val="single" w:sz="8" w:space="0" w:color="000000"/>
              <w:left w:val="single" w:sz="8" w:space="0" w:color="000000"/>
              <w:bottom w:val="nil"/>
              <w:right w:val="single" w:sz="8" w:space="0" w:color="000000"/>
            </w:tcBorders>
            <w:shd w:val="clear" w:color="auto" w:fill="auto"/>
            <w:hideMark/>
          </w:tcPr>
          <w:p w:rsidR="00DC4A6C" w:rsidRPr="000F2EA6" w:rsidRDefault="00DC4A6C">
            <w:pPr>
              <w:rPr>
                <w:rFonts w:ascii="Times New Roman" w:eastAsia="宋体" w:hAnsi="Times New Roman" w:cs="Times New Roman"/>
                <w:color w:val="000000"/>
                <w:szCs w:val="21"/>
              </w:rPr>
            </w:pPr>
          </w:p>
        </w:tc>
        <w:tc>
          <w:tcPr>
            <w:tcW w:w="941" w:type="pct"/>
            <w:tcBorders>
              <w:top w:val="single" w:sz="8" w:space="0" w:color="000000"/>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a</w:t>
            </w:r>
          </w:p>
        </w:tc>
        <w:tc>
          <w:tcPr>
            <w:tcW w:w="869" w:type="pct"/>
            <w:tcBorders>
              <w:top w:val="single" w:sz="8" w:space="0" w:color="000000"/>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b</w:t>
            </w:r>
          </w:p>
        </w:tc>
        <w:tc>
          <w:tcPr>
            <w:tcW w:w="1014" w:type="pct"/>
            <w:tcBorders>
              <w:top w:val="single" w:sz="8" w:space="0" w:color="000000"/>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c</w:t>
            </w:r>
          </w:p>
        </w:tc>
        <w:tc>
          <w:tcPr>
            <w:tcW w:w="864" w:type="pct"/>
            <w:tcBorders>
              <w:top w:val="single" w:sz="8" w:space="0" w:color="000000"/>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d</w:t>
            </w:r>
          </w:p>
        </w:tc>
      </w:tr>
      <w:tr w:rsidR="00DC4A6C" w:rsidRPr="000F2EA6" w:rsidTr="003423EC">
        <w:trPr>
          <w:trHeight w:val="345"/>
          <w:jc w:val="center"/>
        </w:trPr>
        <w:tc>
          <w:tcPr>
            <w:tcW w:w="1313" w:type="pct"/>
            <w:gridSpan w:val="2"/>
            <w:tcBorders>
              <w:top w:val="nil"/>
              <w:left w:val="single" w:sz="8" w:space="0" w:color="000000"/>
              <w:bottom w:val="single" w:sz="8" w:space="0" w:color="000000"/>
              <w:right w:val="single" w:sz="8" w:space="0" w:color="000000"/>
            </w:tcBorders>
            <w:shd w:val="clear" w:color="auto" w:fill="auto"/>
            <w:hideMark/>
          </w:tcPr>
          <w:p w:rsidR="00DC4A6C" w:rsidRPr="000F2EA6" w:rsidRDefault="00DC4A6C">
            <w:pPr>
              <w:rPr>
                <w:rFonts w:ascii="Times New Roman" w:eastAsia="宋体" w:hAnsi="Times New Roman" w:cs="Times New Roman"/>
                <w:color w:val="000000"/>
                <w:szCs w:val="21"/>
              </w:rPr>
            </w:pPr>
          </w:p>
        </w:tc>
        <w:tc>
          <w:tcPr>
            <w:tcW w:w="941" w:type="pct"/>
            <w:tcBorders>
              <w:top w:val="nil"/>
              <w:left w:val="nil"/>
              <w:bottom w:val="single" w:sz="8" w:space="0" w:color="000000"/>
              <w:right w:val="single" w:sz="8" w:space="0" w:color="000000"/>
            </w:tcBorders>
            <w:shd w:val="clear" w:color="auto" w:fill="auto"/>
            <w:vAlign w:val="center"/>
            <w:hideMark/>
          </w:tcPr>
          <w:p w:rsidR="00DC4A6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2026</w:t>
            </w:r>
            <w:r w:rsidR="00DC4A6C" w:rsidRPr="000F2EA6">
              <w:rPr>
                <w:rFonts w:ascii="Times New Roman" w:hAnsi="Times New Roman" w:cs="Times New Roman"/>
                <w:color w:val="000000"/>
              </w:rPr>
              <w:t>年</w:t>
            </w:r>
            <w:r w:rsidR="00DC4A6C" w:rsidRPr="000F2EA6">
              <w:rPr>
                <w:rFonts w:ascii="Times New Roman" w:hAnsi="Times New Roman" w:cs="Times New Roman"/>
                <w:color w:val="000000"/>
              </w:rPr>
              <w:t>3</w:t>
            </w:r>
            <w:r w:rsidR="00DC4A6C" w:rsidRPr="000F2EA6">
              <w:rPr>
                <w:rFonts w:ascii="Times New Roman" w:hAnsi="Times New Roman" w:cs="Times New Roman"/>
                <w:color w:val="000000"/>
              </w:rPr>
              <w:t>月</w:t>
            </w:r>
          </w:p>
        </w:tc>
        <w:tc>
          <w:tcPr>
            <w:tcW w:w="869" w:type="pct"/>
            <w:tcBorders>
              <w:top w:val="nil"/>
              <w:left w:val="nil"/>
              <w:bottom w:val="single" w:sz="8" w:space="0" w:color="000000"/>
              <w:right w:val="single" w:sz="8" w:space="0" w:color="000000"/>
            </w:tcBorders>
            <w:shd w:val="clear" w:color="auto" w:fill="auto"/>
            <w:vAlign w:val="center"/>
            <w:hideMark/>
          </w:tcPr>
          <w:p w:rsidR="00DC4A6C" w:rsidRPr="000F2EA6" w:rsidRDefault="00DC4A6C" w:rsidP="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202</w:t>
            </w:r>
            <w:r w:rsidR="003423EC" w:rsidRPr="000F2EA6">
              <w:rPr>
                <w:rFonts w:ascii="Times New Roman" w:hAnsi="Times New Roman" w:cs="Times New Roman"/>
                <w:color w:val="000000"/>
              </w:rPr>
              <w:t>5</w:t>
            </w:r>
            <w:r w:rsidRPr="000F2EA6">
              <w:rPr>
                <w:rFonts w:ascii="Times New Roman" w:hAnsi="Times New Roman" w:cs="Times New Roman"/>
                <w:color w:val="000000"/>
              </w:rPr>
              <w:t>年</w:t>
            </w:r>
            <w:r w:rsidRPr="000F2EA6">
              <w:rPr>
                <w:rFonts w:ascii="Times New Roman" w:hAnsi="Times New Roman" w:cs="Times New Roman"/>
                <w:color w:val="000000"/>
              </w:rPr>
              <w:t>12</w:t>
            </w:r>
            <w:r w:rsidRPr="000F2EA6">
              <w:rPr>
                <w:rFonts w:ascii="Times New Roman" w:hAnsi="Times New Roman" w:cs="Times New Roman"/>
                <w:color w:val="000000"/>
              </w:rPr>
              <w:t>月</w:t>
            </w:r>
          </w:p>
        </w:tc>
        <w:tc>
          <w:tcPr>
            <w:tcW w:w="1014" w:type="pct"/>
            <w:tcBorders>
              <w:top w:val="nil"/>
              <w:left w:val="nil"/>
              <w:bottom w:val="single" w:sz="8" w:space="0" w:color="000000"/>
              <w:right w:val="single" w:sz="8" w:space="0" w:color="000000"/>
            </w:tcBorders>
            <w:shd w:val="clear" w:color="auto" w:fill="auto"/>
            <w:vAlign w:val="center"/>
            <w:hideMark/>
          </w:tcPr>
          <w:p w:rsidR="00DC4A6C" w:rsidRPr="000F2EA6" w:rsidRDefault="00DC4A6C" w:rsidP="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202</w:t>
            </w:r>
            <w:r w:rsidR="003423EC" w:rsidRPr="000F2EA6">
              <w:rPr>
                <w:rFonts w:ascii="Times New Roman" w:hAnsi="Times New Roman" w:cs="Times New Roman"/>
                <w:color w:val="000000"/>
              </w:rPr>
              <w:t>5</w:t>
            </w:r>
            <w:r w:rsidRPr="000F2EA6">
              <w:rPr>
                <w:rFonts w:ascii="Times New Roman" w:hAnsi="Times New Roman" w:cs="Times New Roman"/>
                <w:color w:val="000000"/>
              </w:rPr>
              <w:t>年</w:t>
            </w:r>
            <w:r w:rsidRPr="000F2EA6">
              <w:rPr>
                <w:rFonts w:ascii="Times New Roman" w:hAnsi="Times New Roman" w:cs="Times New Roman"/>
                <w:color w:val="000000"/>
              </w:rPr>
              <w:t>9</w:t>
            </w:r>
            <w:r w:rsidRPr="000F2EA6">
              <w:rPr>
                <w:rFonts w:ascii="Times New Roman" w:hAnsi="Times New Roman" w:cs="Times New Roman"/>
                <w:color w:val="000000"/>
              </w:rPr>
              <w:t>月</w:t>
            </w:r>
          </w:p>
        </w:tc>
        <w:tc>
          <w:tcPr>
            <w:tcW w:w="864" w:type="pct"/>
            <w:tcBorders>
              <w:top w:val="nil"/>
              <w:left w:val="nil"/>
              <w:bottom w:val="single" w:sz="8" w:space="0" w:color="000000"/>
              <w:right w:val="single" w:sz="8" w:space="0" w:color="000000"/>
            </w:tcBorders>
            <w:shd w:val="clear" w:color="auto" w:fill="auto"/>
            <w:vAlign w:val="center"/>
            <w:hideMark/>
          </w:tcPr>
          <w:p w:rsidR="00DC4A6C" w:rsidRPr="000F2EA6" w:rsidRDefault="00DC4A6C" w:rsidP="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202</w:t>
            </w:r>
            <w:r w:rsidR="003423EC" w:rsidRPr="000F2EA6">
              <w:rPr>
                <w:rFonts w:ascii="Times New Roman" w:hAnsi="Times New Roman" w:cs="Times New Roman"/>
                <w:color w:val="000000"/>
              </w:rPr>
              <w:t>5</w:t>
            </w:r>
            <w:r w:rsidRPr="000F2EA6">
              <w:rPr>
                <w:rFonts w:ascii="Times New Roman" w:hAnsi="Times New Roman" w:cs="Times New Roman"/>
                <w:color w:val="000000"/>
              </w:rPr>
              <w:t>年</w:t>
            </w:r>
            <w:r w:rsidRPr="000F2EA6">
              <w:rPr>
                <w:rFonts w:ascii="Times New Roman" w:hAnsi="Times New Roman" w:cs="Times New Roman"/>
                <w:color w:val="000000"/>
              </w:rPr>
              <w:t>6</w:t>
            </w:r>
            <w:r w:rsidRPr="000F2EA6">
              <w:rPr>
                <w:rFonts w:ascii="Times New Roman" w:hAnsi="Times New Roman" w:cs="Times New Roman"/>
                <w:color w:val="000000"/>
              </w:rPr>
              <w:t>月</w:t>
            </w:r>
          </w:p>
        </w:tc>
      </w:tr>
      <w:tr w:rsidR="00DC4A6C" w:rsidRPr="000F2EA6" w:rsidTr="003423EC">
        <w:trPr>
          <w:trHeight w:val="315"/>
          <w:jc w:val="center"/>
        </w:trPr>
        <w:tc>
          <w:tcPr>
            <w:tcW w:w="3123" w:type="pct"/>
            <w:gridSpan w:val="4"/>
            <w:tcBorders>
              <w:top w:val="nil"/>
              <w:left w:val="single" w:sz="8" w:space="0" w:color="000000"/>
              <w:bottom w:val="single" w:sz="8" w:space="0" w:color="000000"/>
              <w:right w:val="single" w:sz="8" w:space="0" w:color="000000"/>
            </w:tcBorders>
            <w:shd w:val="clear" w:color="auto" w:fill="D9D9D9"/>
            <w:hideMark/>
          </w:tcPr>
          <w:p w:rsidR="00DC4A6C" w:rsidRPr="000F2EA6" w:rsidRDefault="00DC4A6C">
            <w:pPr>
              <w:rPr>
                <w:rFonts w:ascii="Times New Roman" w:eastAsia="仿宋_GB2312" w:hAnsi="Times New Roman" w:cs="Times New Roman"/>
                <w:b/>
                <w:bCs/>
                <w:color w:val="000000"/>
                <w:sz w:val="24"/>
              </w:rPr>
            </w:pPr>
            <w:r w:rsidRPr="000F2EA6">
              <w:rPr>
                <w:rFonts w:ascii="Times New Roman" w:eastAsia="仿宋_GB2312" w:hAnsi="Times New Roman" w:cs="Times New Roman"/>
                <w:b/>
                <w:bCs/>
                <w:color w:val="000000"/>
              </w:rPr>
              <w:t>可用资本（数额）</w:t>
            </w:r>
          </w:p>
        </w:tc>
        <w:tc>
          <w:tcPr>
            <w:tcW w:w="1014" w:type="pct"/>
            <w:tcBorders>
              <w:top w:val="nil"/>
              <w:left w:val="nil"/>
              <w:bottom w:val="single" w:sz="8" w:space="0" w:color="000000"/>
              <w:right w:val="single" w:sz="8" w:space="0" w:color="000000"/>
            </w:tcBorders>
            <w:shd w:val="clear" w:color="auto" w:fill="D9D9D9"/>
            <w:hideMark/>
          </w:tcPr>
          <w:p w:rsidR="00DC4A6C" w:rsidRPr="000F2EA6" w:rsidRDefault="00DC4A6C">
            <w:pPr>
              <w:rPr>
                <w:rFonts w:ascii="Times New Roman" w:eastAsia="宋体" w:hAnsi="Times New Roman" w:cs="Times New Roman"/>
                <w:color w:val="000000"/>
                <w:szCs w:val="21"/>
              </w:rPr>
            </w:pPr>
          </w:p>
        </w:tc>
        <w:tc>
          <w:tcPr>
            <w:tcW w:w="864" w:type="pct"/>
            <w:tcBorders>
              <w:top w:val="nil"/>
              <w:left w:val="nil"/>
              <w:bottom w:val="single" w:sz="8" w:space="0" w:color="000000"/>
              <w:right w:val="single" w:sz="8" w:space="0" w:color="000000"/>
            </w:tcBorders>
            <w:shd w:val="clear" w:color="auto" w:fill="D9D9D9"/>
            <w:hideMark/>
          </w:tcPr>
          <w:p w:rsidR="00DC4A6C" w:rsidRPr="000F2EA6" w:rsidRDefault="00DC4A6C">
            <w:pPr>
              <w:rPr>
                <w:rFonts w:ascii="Times New Roman" w:eastAsia="宋体" w:hAnsi="Times New Roman" w:cs="Times New Roman"/>
                <w:color w:val="000000"/>
                <w:szCs w:val="21"/>
              </w:rPr>
            </w:pPr>
          </w:p>
        </w:tc>
      </w:tr>
      <w:tr w:rsidR="003423EC" w:rsidRPr="000F2EA6" w:rsidTr="003423EC">
        <w:trPr>
          <w:trHeight w:val="570"/>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1</w:t>
            </w:r>
          </w:p>
        </w:tc>
        <w:tc>
          <w:tcPr>
            <w:tcW w:w="826"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核心一级资本净额</w:t>
            </w:r>
          </w:p>
        </w:tc>
        <w:tc>
          <w:tcPr>
            <w:tcW w:w="941"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450536.09 </w:t>
            </w:r>
          </w:p>
        </w:tc>
        <w:tc>
          <w:tcPr>
            <w:tcW w:w="869"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411556.61 </w:t>
            </w:r>
          </w:p>
        </w:tc>
        <w:tc>
          <w:tcPr>
            <w:tcW w:w="101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419939.67</w:t>
            </w:r>
          </w:p>
        </w:tc>
        <w:tc>
          <w:tcPr>
            <w:tcW w:w="86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434368.25</w:t>
            </w:r>
          </w:p>
        </w:tc>
      </w:tr>
      <w:tr w:rsidR="003423EC" w:rsidRPr="000F2EA6" w:rsidTr="003423EC">
        <w:trPr>
          <w:trHeight w:val="570"/>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2</w:t>
            </w:r>
          </w:p>
        </w:tc>
        <w:tc>
          <w:tcPr>
            <w:tcW w:w="826"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一级资本净额</w:t>
            </w:r>
          </w:p>
        </w:tc>
        <w:tc>
          <w:tcPr>
            <w:tcW w:w="941"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450536.09 </w:t>
            </w:r>
          </w:p>
        </w:tc>
        <w:tc>
          <w:tcPr>
            <w:tcW w:w="869"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411556.61 </w:t>
            </w:r>
          </w:p>
        </w:tc>
        <w:tc>
          <w:tcPr>
            <w:tcW w:w="101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419939.67</w:t>
            </w:r>
          </w:p>
        </w:tc>
        <w:tc>
          <w:tcPr>
            <w:tcW w:w="86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434368.25</w:t>
            </w:r>
          </w:p>
        </w:tc>
      </w:tr>
      <w:tr w:rsidR="003423EC" w:rsidRPr="000F2EA6" w:rsidTr="003423EC">
        <w:trPr>
          <w:trHeight w:val="330"/>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3</w:t>
            </w:r>
          </w:p>
        </w:tc>
        <w:tc>
          <w:tcPr>
            <w:tcW w:w="826"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资本净额</w:t>
            </w:r>
          </w:p>
        </w:tc>
        <w:tc>
          <w:tcPr>
            <w:tcW w:w="941"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518533.26 </w:t>
            </w:r>
          </w:p>
        </w:tc>
        <w:tc>
          <w:tcPr>
            <w:tcW w:w="869"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478266.56 </w:t>
            </w:r>
          </w:p>
        </w:tc>
        <w:tc>
          <w:tcPr>
            <w:tcW w:w="101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487283.39</w:t>
            </w:r>
          </w:p>
        </w:tc>
        <w:tc>
          <w:tcPr>
            <w:tcW w:w="86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502025.22</w:t>
            </w:r>
          </w:p>
        </w:tc>
      </w:tr>
      <w:tr w:rsidR="00DC4A6C" w:rsidRPr="000F2EA6" w:rsidTr="003423EC">
        <w:trPr>
          <w:trHeight w:val="315"/>
          <w:jc w:val="center"/>
        </w:trPr>
        <w:tc>
          <w:tcPr>
            <w:tcW w:w="5000" w:type="pct"/>
            <w:gridSpan w:val="6"/>
            <w:tcBorders>
              <w:top w:val="nil"/>
              <w:left w:val="single" w:sz="8" w:space="0" w:color="000000"/>
              <w:bottom w:val="single" w:sz="8" w:space="0" w:color="000000"/>
              <w:right w:val="single" w:sz="8" w:space="0" w:color="000000"/>
            </w:tcBorders>
            <w:shd w:val="clear" w:color="auto" w:fill="D9D9D9"/>
            <w:hideMark/>
          </w:tcPr>
          <w:p w:rsidR="00DC4A6C" w:rsidRPr="000F2EA6" w:rsidRDefault="00DC4A6C">
            <w:pPr>
              <w:rPr>
                <w:rFonts w:ascii="Times New Roman" w:eastAsia="仿宋_GB2312" w:hAnsi="Times New Roman" w:cs="Times New Roman"/>
                <w:b/>
                <w:bCs/>
                <w:color w:val="000000"/>
                <w:sz w:val="24"/>
              </w:rPr>
            </w:pPr>
            <w:r w:rsidRPr="000F2EA6">
              <w:rPr>
                <w:rFonts w:ascii="Times New Roman" w:eastAsia="仿宋_GB2312" w:hAnsi="Times New Roman" w:cs="Times New Roman"/>
                <w:b/>
                <w:bCs/>
                <w:color w:val="000000"/>
              </w:rPr>
              <w:t>风险加权资产（数额）</w:t>
            </w:r>
          </w:p>
        </w:tc>
      </w:tr>
      <w:tr w:rsidR="003423EC" w:rsidRPr="000F2EA6" w:rsidTr="003423EC">
        <w:trPr>
          <w:trHeight w:val="585"/>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4</w:t>
            </w:r>
          </w:p>
        </w:tc>
        <w:tc>
          <w:tcPr>
            <w:tcW w:w="826"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风险加权资产</w:t>
            </w:r>
          </w:p>
        </w:tc>
        <w:tc>
          <w:tcPr>
            <w:tcW w:w="941" w:type="pct"/>
            <w:tcBorders>
              <w:top w:val="nil"/>
              <w:left w:val="nil"/>
              <w:bottom w:val="single" w:sz="8" w:space="0" w:color="000000"/>
              <w:right w:val="single" w:sz="8" w:space="0" w:color="000000"/>
            </w:tcBorders>
            <w:shd w:val="clear" w:color="auto" w:fill="auto"/>
            <w:vAlign w:val="center"/>
            <w:hideMark/>
          </w:tcPr>
          <w:p w:rsidR="003423EC" w:rsidRPr="000F2EA6" w:rsidRDefault="003423EC" w:rsidP="00F958E8">
            <w:pPr>
              <w:jc w:val="center"/>
              <w:rPr>
                <w:rFonts w:ascii="Times New Roman" w:eastAsia="宋体" w:hAnsi="Times New Roman" w:cs="Times New Roman"/>
                <w:color w:val="000000"/>
                <w:sz w:val="24"/>
              </w:rPr>
            </w:pPr>
            <w:r w:rsidRPr="000F2EA6">
              <w:rPr>
                <w:rFonts w:ascii="Times New Roman" w:hAnsi="Times New Roman" w:cs="Times New Roman"/>
                <w:color w:val="000000"/>
              </w:rPr>
              <w:t>3312471.6</w:t>
            </w:r>
            <w:r w:rsidR="00F958E8" w:rsidRPr="000F2EA6">
              <w:rPr>
                <w:rFonts w:ascii="Times New Roman" w:hAnsi="Times New Roman" w:cs="Times New Roman"/>
                <w:color w:val="000000"/>
              </w:rPr>
              <w:t>4</w:t>
            </w:r>
          </w:p>
        </w:tc>
        <w:tc>
          <w:tcPr>
            <w:tcW w:w="869"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3209048.76</w:t>
            </w:r>
          </w:p>
        </w:tc>
        <w:tc>
          <w:tcPr>
            <w:tcW w:w="101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3238531.71</w:t>
            </w:r>
          </w:p>
        </w:tc>
        <w:tc>
          <w:tcPr>
            <w:tcW w:w="86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3263724.01</w:t>
            </w:r>
          </w:p>
        </w:tc>
      </w:tr>
      <w:tr w:rsidR="00DC4A6C" w:rsidRPr="000F2EA6" w:rsidTr="003423EC">
        <w:trPr>
          <w:trHeight w:val="315"/>
          <w:jc w:val="center"/>
        </w:trPr>
        <w:tc>
          <w:tcPr>
            <w:tcW w:w="5000" w:type="pct"/>
            <w:gridSpan w:val="6"/>
            <w:tcBorders>
              <w:top w:val="nil"/>
              <w:left w:val="single" w:sz="8" w:space="0" w:color="000000"/>
              <w:bottom w:val="single" w:sz="8" w:space="0" w:color="000000"/>
              <w:right w:val="single" w:sz="8" w:space="0" w:color="000000"/>
            </w:tcBorders>
            <w:shd w:val="clear" w:color="auto" w:fill="D9D9D9"/>
            <w:hideMark/>
          </w:tcPr>
          <w:p w:rsidR="00DC4A6C" w:rsidRPr="000F2EA6" w:rsidRDefault="00DC4A6C">
            <w:pPr>
              <w:rPr>
                <w:rFonts w:ascii="Times New Roman" w:eastAsia="仿宋_GB2312" w:hAnsi="Times New Roman" w:cs="Times New Roman"/>
                <w:b/>
                <w:bCs/>
                <w:color w:val="000000"/>
                <w:sz w:val="24"/>
              </w:rPr>
            </w:pPr>
            <w:r w:rsidRPr="000F2EA6">
              <w:rPr>
                <w:rFonts w:ascii="Times New Roman" w:eastAsia="仿宋_GB2312" w:hAnsi="Times New Roman" w:cs="Times New Roman"/>
                <w:b/>
                <w:bCs/>
                <w:color w:val="000000"/>
              </w:rPr>
              <w:t>资本充足率</w:t>
            </w:r>
          </w:p>
        </w:tc>
      </w:tr>
      <w:tr w:rsidR="003423EC" w:rsidRPr="000F2EA6" w:rsidTr="003423EC">
        <w:trPr>
          <w:trHeight w:val="529"/>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5</w:t>
            </w:r>
          </w:p>
        </w:tc>
        <w:tc>
          <w:tcPr>
            <w:tcW w:w="826"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核心一级资本充足率（</w:t>
            </w:r>
            <w:r w:rsidRPr="000F2EA6">
              <w:rPr>
                <w:rStyle w:val="font31"/>
                <w:rFonts w:ascii="Times New Roman" w:hAnsi="Times New Roman" w:cs="Times New Roman" w:hint="default"/>
              </w:rPr>
              <w:t>%</w:t>
            </w:r>
            <w:r w:rsidRPr="000F2EA6">
              <w:rPr>
                <w:rStyle w:val="font11"/>
              </w:rPr>
              <w:t>）</w:t>
            </w:r>
          </w:p>
        </w:tc>
        <w:tc>
          <w:tcPr>
            <w:tcW w:w="941"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13.60 </w:t>
            </w:r>
          </w:p>
        </w:tc>
        <w:tc>
          <w:tcPr>
            <w:tcW w:w="869"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12.82 </w:t>
            </w:r>
          </w:p>
        </w:tc>
        <w:tc>
          <w:tcPr>
            <w:tcW w:w="101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12.97</w:t>
            </w:r>
          </w:p>
        </w:tc>
        <w:tc>
          <w:tcPr>
            <w:tcW w:w="86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13.31</w:t>
            </w:r>
          </w:p>
        </w:tc>
      </w:tr>
      <w:tr w:rsidR="003423EC" w:rsidRPr="000F2EA6" w:rsidTr="003423EC">
        <w:trPr>
          <w:trHeight w:val="900"/>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6</w:t>
            </w:r>
          </w:p>
        </w:tc>
        <w:tc>
          <w:tcPr>
            <w:tcW w:w="826"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一级资本充足率（</w:t>
            </w:r>
            <w:r w:rsidRPr="000F2EA6">
              <w:rPr>
                <w:rStyle w:val="font31"/>
                <w:rFonts w:ascii="Times New Roman" w:hAnsi="Times New Roman" w:cs="Times New Roman" w:hint="default"/>
              </w:rPr>
              <w:t>%</w:t>
            </w:r>
            <w:r w:rsidRPr="000F2EA6">
              <w:rPr>
                <w:rStyle w:val="font11"/>
              </w:rPr>
              <w:t>）</w:t>
            </w:r>
          </w:p>
        </w:tc>
        <w:tc>
          <w:tcPr>
            <w:tcW w:w="941"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13.60 </w:t>
            </w:r>
          </w:p>
        </w:tc>
        <w:tc>
          <w:tcPr>
            <w:tcW w:w="869"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12.82 </w:t>
            </w:r>
          </w:p>
        </w:tc>
        <w:tc>
          <w:tcPr>
            <w:tcW w:w="101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12.97</w:t>
            </w:r>
          </w:p>
        </w:tc>
        <w:tc>
          <w:tcPr>
            <w:tcW w:w="86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13.31</w:t>
            </w:r>
          </w:p>
        </w:tc>
      </w:tr>
      <w:tr w:rsidR="003423EC" w:rsidRPr="000F2EA6" w:rsidTr="003423EC">
        <w:trPr>
          <w:trHeight w:val="615"/>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7</w:t>
            </w:r>
          </w:p>
        </w:tc>
        <w:tc>
          <w:tcPr>
            <w:tcW w:w="826"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资本充足率（</w:t>
            </w:r>
            <w:r w:rsidRPr="000F2EA6">
              <w:rPr>
                <w:rStyle w:val="font31"/>
                <w:rFonts w:ascii="Times New Roman" w:hAnsi="Times New Roman" w:cs="Times New Roman" w:hint="default"/>
              </w:rPr>
              <w:t>%</w:t>
            </w:r>
            <w:r w:rsidRPr="000F2EA6">
              <w:rPr>
                <w:rStyle w:val="font11"/>
              </w:rPr>
              <w:t>）</w:t>
            </w:r>
          </w:p>
        </w:tc>
        <w:tc>
          <w:tcPr>
            <w:tcW w:w="941"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15.65 </w:t>
            </w:r>
          </w:p>
        </w:tc>
        <w:tc>
          <w:tcPr>
            <w:tcW w:w="869"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14.90 </w:t>
            </w:r>
          </w:p>
        </w:tc>
        <w:tc>
          <w:tcPr>
            <w:tcW w:w="101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15.05</w:t>
            </w:r>
          </w:p>
        </w:tc>
        <w:tc>
          <w:tcPr>
            <w:tcW w:w="86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15.38</w:t>
            </w:r>
          </w:p>
        </w:tc>
      </w:tr>
      <w:tr w:rsidR="00DC4A6C" w:rsidRPr="000F2EA6" w:rsidTr="003423EC">
        <w:trPr>
          <w:trHeight w:val="315"/>
          <w:jc w:val="center"/>
        </w:trPr>
        <w:tc>
          <w:tcPr>
            <w:tcW w:w="3123" w:type="pct"/>
            <w:gridSpan w:val="4"/>
            <w:tcBorders>
              <w:top w:val="nil"/>
              <w:left w:val="single" w:sz="8" w:space="0" w:color="000000"/>
              <w:bottom w:val="single" w:sz="8" w:space="0" w:color="000000"/>
              <w:right w:val="single" w:sz="8" w:space="0" w:color="000000"/>
            </w:tcBorders>
            <w:shd w:val="clear" w:color="auto" w:fill="D9D9D9"/>
            <w:hideMark/>
          </w:tcPr>
          <w:p w:rsidR="00DC4A6C" w:rsidRPr="000F2EA6" w:rsidRDefault="00DC4A6C">
            <w:pPr>
              <w:rPr>
                <w:rFonts w:ascii="Times New Roman" w:eastAsia="仿宋_GB2312" w:hAnsi="Times New Roman" w:cs="Times New Roman"/>
                <w:b/>
                <w:bCs/>
                <w:color w:val="000000"/>
                <w:sz w:val="24"/>
              </w:rPr>
            </w:pPr>
            <w:r w:rsidRPr="000F2EA6">
              <w:rPr>
                <w:rFonts w:ascii="Times New Roman" w:eastAsia="仿宋_GB2312" w:hAnsi="Times New Roman" w:cs="Times New Roman"/>
                <w:b/>
                <w:bCs/>
                <w:color w:val="000000"/>
              </w:rPr>
              <w:t>其他各级资本要求</w:t>
            </w:r>
          </w:p>
        </w:tc>
        <w:tc>
          <w:tcPr>
            <w:tcW w:w="1014" w:type="pct"/>
            <w:tcBorders>
              <w:top w:val="nil"/>
              <w:left w:val="nil"/>
              <w:bottom w:val="single" w:sz="8" w:space="0" w:color="000000"/>
              <w:right w:val="single" w:sz="8" w:space="0" w:color="000000"/>
            </w:tcBorders>
            <w:shd w:val="clear" w:color="auto" w:fill="D9D9D9"/>
            <w:hideMark/>
          </w:tcPr>
          <w:p w:rsidR="00DC4A6C" w:rsidRPr="000F2EA6" w:rsidRDefault="00DC4A6C">
            <w:pPr>
              <w:rPr>
                <w:rFonts w:ascii="Times New Roman" w:eastAsia="宋体" w:hAnsi="Times New Roman" w:cs="Times New Roman"/>
                <w:color w:val="000000"/>
                <w:szCs w:val="21"/>
              </w:rPr>
            </w:pPr>
          </w:p>
        </w:tc>
        <w:tc>
          <w:tcPr>
            <w:tcW w:w="864" w:type="pct"/>
            <w:tcBorders>
              <w:top w:val="nil"/>
              <w:left w:val="nil"/>
              <w:bottom w:val="single" w:sz="8" w:space="0" w:color="000000"/>
              <w:right w:val="single" w:sz="8" w:space="0" w:color="000000"/>
            </w:tcBorders>
            <w:shd w:val="clear" w:color="auto" w:fill="D9D9D9"/>
            <w:hideMark/>
          </w:tcPr>
          <w:p w:rsidR="00DC4A6C" w:rsidRPr="000F2EA6" w:rsidRDefault="00DC4A6C">
            <w:pPr>
              <w:rPr>
                <w:rFonts w:ascii="Times New Roman" w:eastAsia="宋体" w:hAnsi="Times New Roman" w:cs="Times New Roman"/>
                <w:color w:val="000000"/>
                <w:szCs w:val="21"/>
              </w:rPr>
            </w:pPr>
          </w:p>
        </w:tc>
      </w:tr>
      <w:tr w:rsidR="00DC4A6C" w:rsidRPr="000F2EA6" w:rsidTr="003423EC">
        <w:trPr>
          <w:trHeight w:val="900"/>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lastRenderedPageBreak/>
              <w:t>8</w:t>
            </w:r>
          </w:p>
        </w:tc>
        <w:tc>
          <w:tcPr>
            <w:tcW w:w="826"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储备资本要求（</w:t>
            </w:r>
            <w:r w:rsidRPr="000F2EA6">
              <w:rPr>
                <w:rStyle w:val="font31"/>
                <w:rFonts w:ascii="Times New Roman" w:hAnsi="Times New Roman" w:cs="Times New Roman" w:hint="default"/>
              </w:rPr>
              <w:t>%</w:t>
            </w:r>
            <w:r w:rsidRPr="000F2EA6">
              <w:rPr>
                <w:rStyle w:val="font11"/>
              </w:rPr>
              <w:t>）</w:t>
            </w:r>
          </w:p>
        </w:tc>
        <w:tc>
          <w:tcPr>
            <w:tcW w:w="941"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2.5</w:t>
            </w:r>
          </w:p>
        </w:tc>
        <w:tc>
          <w:tcPr>
            <w:tcW w:w="869"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2.5</w:t>
            </w:r>
          </w:p>
        </w:tc>
        <w:tc>
          <w:tcPr>
            <w:tcW w:w="101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2.5</w:t>
            </w:r>
          </w:p>
        </w:tc>
        <w:tc>
          <w:tcPr>
            <w:tcW w:w="86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2.5</w:t>
            </w:r>
          </w:p>
        </w:tc>
      </w:tr>
      <w:tr w:rsidR="00DC4A6C" w:rsidRPr="000F2EA6" w:rsidTr="003423EC">
        <w:trPr>
          <w:trHeight w:val="900"/>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9</w:t>
            </w:r>
          </w:p>
        </w:tc>
        <w:tc>
          <w:tcPr>
            <w:tcW w:w="826"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逆周期资本要求（</w:t>
            </w:r>
            <w:r w:rsidRPr="000F2EA6">
              <w:rPr>
                <w:rStyle w:val="font31"/>
                <w:rFonts w:ascii="Times New Roman" w:hAnsi="Times New Roman" w:cs="Times New Roman" w:hint="default"/>
              </w:rPr>
              <w:t>%</w:t>
            </w:r>
            <w:r w:rsidRPr="000F2EA6">
              <w:rPr>
                <w:rStyle w:val="font11"/>
              </w:rPr>
              <w:t>）</w:t>
            </w:r>
          </w:p>
        </w:tc>
        <w:tc>
          <w:tcPr>
            <w:tcW w:w="941"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0</w:t>
            </w:r>
          </w:p>
        </w:tc>
        <w:tc>
          <w:tcPr>
            <w:tcW w:w="869"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0</w:t>
            </w:r>
          </w:p>
        </w:tc>
        <w:tc>
          <w:tcPr>
            <w:tcW w:w="101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0</w:t>
            </w:r>
          </w:p>
        </w:tc>
        <w:tc>
          <w:tcPr>
            <w:tcW w:w="86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0</w:t>
            </w:r>
          </w:p>
        </w:tc>
      </w:tr>
      <w:tr w:rsidR="00DC4A6C" w:rsidRPr="000F2EA6" w:rsidTr="003423EC">
        <w:trPr>
          <w:trHeight w:val="2040"/>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10</w:t>
            </w:r>
          </w:p>
        </w:tc>
        <w:tc>
          <w:tcPr>
            <w:tcW w:w="826"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全球系统重要性银行或国内系统重要性银行附加资本要求（</w:t>
            </w:r>
            <w:r w:rsidRPr="000F2EA6">
              <w:rPr>
                <w:rStyle w:val="font31"/>
                <w:rFonts w:ascii="Times New Roman" w:hAnsi="Times New Roman" w:cs="Times New Roman" w:hint="default"/>
              </w:rPr>
              <w:t>%</w:t>
            </w:r>
            <w:r w:rsidRPr="000F2EA6">
              <w:rPr>
                <w:rStyle w:val="font11"/>
              </w:rPr>
              <w:t>）</w:t>
            </w:r>
          </w:p>
        </w:tc>
        <w:tc>
          <w:tcPr>
            <w:tcW w:w="941" w:type="pct"/>
            <w:tcBorders>
              <w:top w:val="nil"/>
              <w:left w:val="nil"/>
              <w:bottom w:val="single" w:sz="8" w:space="0" w:color="000000"/>
              <w:right w:val="single" w:sz="8" w:space="0" w:color="000000"/>
            </w:tcBorders>
            <w:shd w:val="clear" w:color="auto" w:fill="BEBEBE"/>
            <w:vAlign w:val="center"/>
            <w:hideMark/>
          </w:tcPr>
          <w:p w:rsidR="00DC4A6C" w:rsidRPr="000F2EA6" w:rsidRDefault="00DC4A6C">
            <w:pPr>
              <w:rPr>
                <w:rFonts w:ascii="Times New Roman" w:eastAsia="宋体" w:hAnsi="Times New Roman" w:cs="Times New Roman"/>
                <w:color w:val="000000"/>
                <w:szCs w:val="21"/>
              </w:rPr>
            </w:pPr>
          </w:p>
        </w:tc>
        <w:tc>
          <w:tcPr>
            <w:tcW w:w="869" w:type="pct"/>
            <w:tcBorders>
              <w:top w:val="nil"/>
              <w:left w:val="nil"/>
              <w:bottom w:val="single" w:sz="8" w:space="0" w:color="000000"/>
              <w:right w:val="single" w:sz="8" w:space="0" w:color="000000"/>
            </w:tcBorders>
            <w:shd w:val="clear" w:color="auto" w:fill="BEBEBE"/>
            <w:vAlign w:val="center"/>
            <w:hideMark/>
          </w:tcPr>
          <w:p w:rsidR="00DC4A6C" w:rsidRPr="000F2EA6" w:rsidRDefault="00DC4A6C">
            <w:pPr>
              <w:rPr>
                <w:rFonts w:ascii="Times New Roman" w:eastAsia="宋体" w:hAnsi="Times New Roman" w:cs="Times New Roman"/>
                <w:color w:val="000000"/>
                <w:szCs w:val="21"/>
              </w:rPr>
            </w:pPr>
          </w:p>
        </w:tc>
        <w:tc>
          <w:tcPr>
            <w:tcW w:w="1014" w:type="pct"/>
            <w:tcBorders>
              <w:top w:val="nil"/>
              <w:left w:val="nil"/>
              <w:bottom w:val="single" w:sz="8" w:space="0" w:color="000000"/>
              <w:right w:val="single" w:sz="8" w:space="0" w:color="000000"/>
            </w:tcBorders>
            <w:shd w:val="clear" w:color="auto" w:fill="BEBEBE"/>
            <w:vAlign w:val="center"/>
            <w:hideMark/>
          </w:tcPr>
          <w:p w:rsidR="00DC4A6C" w:rsidRPr="000F2EA6" w:rsidRDefault="00DC4A6C">
            <w:pPr>
              <w:rPr>
                <w:rFonts w:ascii="Times New Roman" w:eastAsia="宋体" w:hAnsi="Times New Roman" w:cs="Times New Roman"/>
                <w:color w:val="000000"/>
                <w:szCs w:val="21"/>
              </w:rPr>
            </w:pPr>
          </w:p>
        </w:tc>
        <w:tc>
          <w:tcPr>
            <w:tcW w:w="864" w:type="pct"/>
            <w:tcBorders>
              <w:top w:val="nil"/>
              <w:left w:val="nil"/>
              <w:bottom w:val="single" w:sz="8" w:space="0" w:color="000000"/>
              <w:right w:val="single" w:sz="8" w:space="0" w:color="000000"/>
            </w:tcBorders>
            <w:shd w:val="clear" w:color="auto" w:fill="BEBEBE"/>
            <w:vAlign w:val="center"/>
            <w:hideMark/>
          </w:tcPr>
          <w:p w:rsidR="00DC4A6C" w:rsidRPr="000F2EA6" w:rsidRDefault="00DC4A6C">
            <w:pPr>
              <w:rPr>
                <w:rFonts w:ascii="Times New Roman" w:eastAsia="宋体" w:hAnsi="Times New Roman" w:cs="Times New Roman"/>
                <w:color w:val="000000"/>
                <w:szCs w:val="21"/>
              </w:rPr>
            </w:pPr>
          </w:p>
        </w:tc>
      </w:tr>
      <w:tr w:rsidR="00DC4A6C" w:rsidRPr="000F2EA6" w:rsidTr="003423EC">
        <w:trPr>
          <w:trHeight w:val="1500"/>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11</w:t>
            </w:r>
          </w:p>
        </w:tc>
        <w:tc>
          <w:tcPr>
            <w:tcW w:w="826"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其他各级资本要求（</w:t>
            </w:r>
            <w:r w:rsidRPr="000F2EA6">
              <w:rPr>
                <w:rStyle w:val="font31"/>
                <w:rFonts w:ascii="Times New Roman" w:hAnsi="Times New Roman" w:cs="Times New Roman" w:hint="default"/>
              </w:rPr>
              <w:t>%</w:t>
            </w:r>
            <w:r w:rsidRPr="000F2EA6">
              <w:rPr>
                <w:rStyle w:val="font11"/>
              </w:rPr>
              <w:t>）（</w:t>
            </w:r>
            <w:r w:rsidRPr="000F2EA6">
              <w:rPr>
                <w:rStyle w:val="font31"/>
                <w:rFonts w:ascii="Times New Roman" w:hAnsi="Times New Roman" w:cs="Times New Roman" w:hint="default"/>
              </w:rPr>
              <w:t>8+9+10</w:t>
            </w:r>
            <w:r w:rsidRPr="000F2EA6">
              <w:rPr>
                <w:rStyle w:val="font11"/>
              </w:rPr>
              <w:t>）</w:t>
            </w:r>
          </w:p>
        </w:tc>
        <w:tc>
          <w:tcPr>
            <w:tcW w:w="941"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2.5</w:t>
            </w:r>
          </w:p>
        </w:tc>
        <w:tc>
          <w:tcPr>
            <w:tcW w:w="869"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2.5</w:t>
            </w:r>
          </w:p>
        </w:tc>
        <w:tc>
          <w:tcPr>
            <w:tcW w:w="101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2.5</w:t>
            </w:r>
          </w:p>
        </w:tc>
        <w:tc>
          <w:tcPr>
            <w:tcW w:w="86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2.5</w:t>
            </w:r>
          </w:p>
        </w:tc>
      </w:tr>
      <w:tr w:rsidR="003423EC" w:rsidRPr="000F2EA6" w:rsidTr="003423EC">
        <w:trPr>
          <w:trHeight w:val="2595"/>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12</w:t>
            </w:r>
          </w:p>
        </w:tc>
        <w:tc>
          <w:tcPr>
            <w:tcW w:w="826"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满足最低资本要求后的可用核心一级资本净额占风险加权资产的比例（</w:t>
            </w:r>
            <w:r w:rsidRPr="000F2EA6">
              <w:rPr>
                <w:rStyle w:val="font31"/>
                <w:rFonts w:ascii="Times New Roman" w:hAnsi="Times New Roman" w:cs="Times New Roman" w:hint="default"/>
              </w:rPr>
              <w:t>%</w:t>
            </w:r>
            <w:r w:rsidRPr="000F2EA6">
              <w:rPr>
                <w:rStyle w:val="font11"/>
              </w:rPr>
              <w:t>）</w:t>
            </w:r>
          </w:p>
        </w:tc>
        <w:tc>
          <w:tcPr>
            <w:tcW w:w="941"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7.60 </w:t>
            </w:r>
          </w:p>
        </w:tc>
        <w:tc>
          <w:tcPr>
            <w:tcW w:w="869"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6.82 </w:t>
            </w:r>
          </w:p>
        </w:tc>
        <w:tc>
          <w:tcPr>
            <w:tcW w:w="101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6.97</w:t>
            </w:r>
          </w:p>
        </w:tc>
        <w:tc>
          <w:tcPr>
            <w:tcW w:w="86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7.31</w:t>
            </w:r>
          </w:p>
        </w:tc>
      </w:tr>
      <w:tr w:rsidR="00DC4A6C" w:rsidRPr="000F2EA6" w:rsidTr="003423EC">
        <w:trPr>
          <w:trHeight w:val="315"/>
          <w:jc w:val="center"/>
        </w:trPr>
        <w:tc>
          <w:tcPr>
            <w:tcW w:w="5000" w:type="pct"/>
            <w:gridSpan w:val="6"/>
            <w:tcBorders>
              <w:top w:val="nil"/>
              <w:left w:val="single" w:sz="8" w:space="0" w:color="000000"/>
              <w:bottom w:val="single" w:sz="8" w:space="0" w:color="000000"/>
              <w:right w:val="single" w:sz="8" w:space="0" w:color="000000"/>
            </w:tcBorders>
            <w:shd w:val="clear" w:color="auto" w:fill="D9D9D9"/>
            <w:hideMark/>
          </w:tcPr>
          <w:p w:rsidR="00DC4A6C" w:rsidRPr="000F2EA6" w:rsidRDefault="00DC4A6C">
            <w:pPr>
              <w:rPr>
                <w:rFonts w:ascii="Times New Roman" w:eastAsia="仿宋_GB2312" w:hAnsi="Times New Roman" w:cs="Times New Roman"/>
                <w:b/>
                <w:bCs/>
                <w:color w:val="000000"/>
                <w:sz w:val="24"/>
              </w:rPr>
            </w:pPr>
            <w:r w:rsidRPr="000F2EA6">
              <w:rPr>
                <w:rFonts w:ascii="Times New Roman" w:eastAsia="仿宋_GB2312" w:hAnsi="Times New Roman" w:cs="Times New Roman"/>
                <w:b/>
                <w:bCs/>
                <w:color w:val="000000"/>
              </w:rPr>
              <w:t>杠杆率</w:t>
            </w:r>
          </w:p>
        </w:tc>
      </w:tr>
      <w:tr w:rsidR="003423EC" w:rsidRPr="000F2EA6" w:rsidTr="003423EC">
        <w:trPr>
          <w:trHeight w:val="870"/>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13</w:t>
            </w:r>
          </w:p>
        </w:tc>
        <w:tc>
          <w:tcPr>
            <w:tcW w:w="826"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调整后表内外资产余额</w:t>
            </w:r>
          </w:p>
        </w:tc>
        <w:tc>
          <w:tcPr>
            <w:tcW w:w="941"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6264087.32</w:t>
            </w:r>
          </w:p>
        </w:tc>
        <w:tc>
          <w:tcPr>
            <w:tcW w:w="869"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5825756.19</w:t>
            </w:r>
          </w:p>
        </w:tc>
        <w:tc>
          <w:tcPr>
            <w:tcW w:w="101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5825916.37</w:t>
            </w:r>
          </w:p>
        </w:tc>
        <w:tc>
          <w:tcPr>
            <w:tcW w:w="86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5797812.87</w:t>
            </w:r>
          </w:p>
        </w:tc>
      </w:tr>
      <w:tr w:rsidR="003423EC" w:rsidRPr="000F2EA6" w:rsidTr="003423EC">
        <w:trPr>
          <w:trHeight w:val="615"/>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14</w:t>
            </w:r>
          </w:p>
        </w:tc>
        <w:tc>
          <w:tcPr>
            <w:tcW w:w="826"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杠杆率（</w:t>
            </w:r>
            <w:r w:rsidRPr="000F2EA6">
              <w:rPr>
                <w:rStyle w:val="font31"/>
                <w:rFonts w:ascii="Times New Roman" w:hAnsi="Times New Roman" w:cs="Times New Roman" w:hint="default"/>
              </w:rPr>
              <w:t>%</w:t>
            </w:r>
            <w:r w:rsidRPr="000F2EA6">
              <w:rPr>
                <w:rStyle w:val="font11"/>
              </w:rPr>
              <w:t>）</w:t>
            </w:r>
          </w:p>
        </w:tc>
        <w:tc>
          <w:tcPr>
            <w:tcW w:w="941"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7.19 </w:t>
            </w:r>
          </w:p>
        </w:tc>
        <w:tc>
          <w:tcPr>
            <w:tcW w:w="869"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7.06 </w:t>
            </w:r>
          </w:p>
        </w:tc>
        <w:tc>
          <w:tcPr>
            <w:tcW w:w="101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7.21</w:t>
            </w:r>
          </w:p>
        </w:tc>
        <w:tc>
          <w:tcPr>
            <w:tcW w:w="86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7.49</w:t>
            </w:r>
          </w:p>
        </w:tc>
      </w:tr>
      <w:tr w:rsidR="003423EC" w:rsidRPr="000F2EA6" w:rsidTr="003423EC">
        <w:trPr>
          <w:trHeight w:val="645"/>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14a</w:t>
            </w:r>
          </w:p>
        </w:tc>
        <w:tc>
          <w:tcPr>
            <w:tcW w:w="826"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杠杆率</w:t>
            </w:r>
            <w:r w:rsidRPr="000F2EA6">
              <w:rPr>
                <w:rStyle w:val="font31"/>
                <w:rFonts w:ascii="Times New Roman" w:hAnsi="Times New Roman" w:cs="Times New Roman" w:hint="default"/>
              </w:rPr>
              <w:t>a</w:t>
            </w:r>
            <w:r w:rsidRPr="000F2EA6">
              <w:rPr>
                <w:rStyle w:val="font11"/>
              </w:rPr>
              <w:t>（</w:t>
            </w:r>
            <w:r w:rsidRPr="000F2EA6">
              <w:rPr>
                <w:rStyle w:val="font31"/>
                <w:rFonts w:ascii="Times New Roman" w:hAnsi="Times New Roman" w:cs="Times New Roman" w:hint="default"/>
              </w:rPr>
              <w:t>%</w:t>
            </w:r>
            <w:r w:rsidRPr="000F2EA6">
              <w:rPr>
                <w:rStyle w:val="font11"/>
              </w:rPr>
              <w:t>）</w:t>
            </w:r>
          </w:p>
        </w:tc>
        <w:tc>
          <w:tcPr>
            <w:tcW w:w="941"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7.19 </w:t>
            </w:r>
          </w:p>
        </w:tc>
        <w:tc>
          <w:tcPr>
            <w:tcW w:w="869"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7.06 </w:t>
            </w:r>
          </w:p>
        </w:tc>
        <w:tc>
          <w:tcPr>
            <w:tcW w:w="101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7.21</w:t>
            </w:r>
          </w:p>
        </w:tc>
        <w:tc>
          <w:tcPr>
            <w:tcW w:w="864"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7.49</w:t>
            </w:r>
          </w:p>
        </w:tc>
      </w:tr>
      <w:tr w:rsidR="00DC4A6C" w:rsidRPr="000F2EA6" w:rsidTr="003423EC">
        <w:trPr>
          <w:trHeight w:val="315"/>
          <w:jc w:val="center"/>
        </w:trPr>
        <w:tc>
          <w:tcPr>
            <w:tcW w:w="5000" w:type="pct"/>
            <w:gridSpan w:val="6"/>
            <w:tcBorders>
              <w:top w:val="nil"/>
              <w:left w:val="single" w:sz="8" w:space="0" w:color="000000"/>
              <w:bottom w:val="single" w:sz="8" w:space="0" w:color="000000"/>
              <w:right w:val="single" w:sz="8" w:space="0" w:color="000000"/>
            </w:tcBorders>
            <w:shd w:val="clear" w:color="auto" w:fill="D9D9D9"/>
            <w:hideMark/>
          </w:tcPr>
          <w:p w:rsidR="00DC4A6C" w:rsidRPr="000F2EA6" w:rsidRDefault="00DC4A6C">
            <w:pPr>
              <w:rPr>
                <w:rFonts w:ascii="Times New Roman" w:eastAsia="仿宋_GB2312" w:hAnsi="Times New Roman" w:cs="Times New Roman"/>
                <w:b/>
                <w:bCs/>
                <w:color w:val="000000"/>
                <w:sz w:val="24"/>
              </w:rPr>
            </w:pPr>
            <w:r w:rsidRPr="000F2EA6">
              <w:rPr>
                <w:rFonts w:ascii="Times New Roman" w:eastAsia="仿宋_GB2312" w:hAnsi="Times New Roman" w:cs="Times New Roman"/>
                <w:b/>
                <w:bCs/>
                <w:color w:val="000000"/>
              </w:rPr>
              <w:t>流动性覆盖率</w:t>
            </w:r>
          </w:p>
        </w:tc>
      </w:tr>
      <w:tr w:rsidR="00DC4A6C" w:rsidRPr="000F2EA6" w:rsidTr="003423EC">
        <w:trPr>
          <w:trHeight w:val="870"/>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15</w:t>
            </w:r>
          </w:p>
        </w:tc>
        <w:tc>
          <w:tcPr>
            <w:tcW w:w="826"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合格优质流动性资产</w:t>
            </w:r>
          </w:p>
        </w:tc>
        <w:tc>
          <w:tcPr>
            <w:tcW w:w="941"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869"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101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86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r>
      <w:tr w:rsidR="00DC4A6C" w:rsidRPr="000F2EA6" w:rsidTr="003423EC">
        <w:trPr>
          <w:trHeight w:val="585"/>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16</w:t>
            </w:r>
          </w:p>
        </w:tc>
        <w:tc>
          <w:tcPr>
            <w:tcW w:w="826"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现金净流出量</w:t>
            </w:r>
          </w:p>
        </w:tc>
        <w:tc>
          <w:tcPr>
            <w:tcW w:w="941"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869"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101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86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r>
      <w:tr w:rsidR="00DC4A6C" w:rsidRPr="000F2EA6" w:rsidTr="003423EC">
        <w:trPr>
          <w:trHeight w:val="900"/>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17</w:t>
            </w:r>
          </w:p>
        </w:tc>
        <w:tc>
          <w:tcPr>
            <w:tcW w:w="826"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流动性覆盖率（</w:t>
            </w:r>
            <w:r w:rsidRPr="000F2EA6">
              <w:rPr>
                <w:rStyle w:val="font31"/>
                <w:rFonts w:ascii="Times New Roman" w:hAnsi="Times New Roman" w:cs="Times New Roman" w:hint="default"/>
              </w:rPr>
              <w:t>%</w:t>
            </w:r>
            <w:r w:rsidRPr="000F2EA6">
              <w:rPr>
                <w:rStyle w:val="font11"/>
              </w:rPr>
              <w:t>）</w:t>
            </w:r>
          </w:p>
        </w:tc>
        <w:tc>
          <w:tcPr>
            <w:tcW w:w="941"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869"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101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86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r>
      <w:tr w:rsidR="00DC4A6C" w:rsidRPr="000F2EA6" w:rsidTr="003423EC">
        <w:trPr>
          <w:trHeight w:val="315"/>
          <w:jc w:val="center"/>
        </w:trPr>
        <w:tc>
          <w:tcPr>
            <w:tcW w:w="5000" w:type="pct"/>
            <w:gridSpan w:val="6"/>
            <w:tcBorders>
              <w:top w:val="nil"/>
              <w:left w:val="single" w:sz="8" w:space="0" w:color="000000"/>
              <w:bottom w:val="single" w:sz="8" w:space="0" w:color="000000"/>
              <w:right w:val="single" w:sz="8" w:space="0" w:color="000000"/>
            </w:tcBorders>
            <w:shd w:val="clear" w:color="auto" w:fill="D9D9D9"/>
            <w:hideMark/>
          </w:tcPr>
          <w:p w:rsidR="00DC4A6C" w:rsidRPr="000F2EA6" w:rsidRDefault="00DC4A6C">
            <w:pPr>
              <w:rPr>
                <w:rFonts w:ascii="Times New Roman" w:eastAsia="仿宋_GB2312" w:hAnsi="Times New Roman" w:cs="Times New Roman"/>
                <w:b/>
                <w:bCs/>
                <w:color w:val="000000"/>
                <w:sz w:val="24"/>
              </w:rPr>
            </w:pPr>
            <w:r w:rsidRPr="000F2EA6">
              <w:rPr>
                <w:rFonts w:ascii="Times New Roman" w:eastAsia="仿宋_GB2312" w:hAnsi="Times New Roman" w:cs="Times New Roman"/>
                <w:b/>
                <w:bCs/>
                <w:color w:val="000000"/>
              </w:rPr>
              <w:t>净稳定资金比例</w:t>
            </w:r>
          </w:p>
        </w:tc>
      </w:tr>
      <w:tr w:rsidR="00DC4A6C" w:rsidRPr="000F2EA6" w:rsidTr="003423EC">
        <w:trPr>
          <w:trHeight w:val="585"/>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lastRenderedPageBreak/>
              <w:t>18</w:t>
            </w:r>
          </w:p>
        </w:tc>
        <w:tc>
          <w:tcPr>
            <w:tcW w:w="826"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可用稳定资金合计</w:t>
            </w:r>
          </w:p>
        </w:tc>
        <w:tc>
          <w:tcPr>
            <w:tcW w:w="941"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869"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101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86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r>
      <w:tr w:rsidR="00DC4A6C" w:rsidRPr="000F2EA6" w:rsidTr="003423EC">
        <w:trPr>
          <w:trHeight w:val="585"/>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19</w:t>
            </w:r>
          </w:p>
        </w:tc>
        <w:tc>
          <w:tcPr>
            <w:tcW w:w="826"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所需稳定资金合计</w:t>
            </w:r>
          </w:p>
        </w:tc>
        <w:tc>
          <w:tcPr>
            <w:tcW w:w="941"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869"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101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86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r>
      <w:tr w:rsidR="00DC4A6C" w:rsidRPr="000F2EA6" w:rsidTr="003423EC">
        <w:trPr>
          <w:trHeight w:val="900"/>
          <w:jc w:val="center"/>
        </w:trPr>
        <w:tc>
          <w:tcPr>
            <w:tcW w:w="487" w:type="pct"/>
            <w:tcBorders>
              <w:top w:val="nil"/>
              <w:left w:val="single" w:sz="8" w:space="0" w:color="000000"/>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宋体" w:hAnsi="Times New Roman" w:cs="Times New Roman"/>
                <w:color w:val="000000"/>
                <w:sz w:val="24"/>
              </w:rPr>
            </w:pPr>
            <w:r w:rsidRPr="000F2EA6">
              <w:rPr>
                <w:rFonts w:ascii="Times New Roman" w:hAnsi="Times New Roman" w:cs="Times New Roman"/>
                <w:color w:val="000000"/>
              </w:rPr>
              <w:t>20</w:t>
            </w:r>
          </w:p>
        </w:tc>
        <w:tc>
          <w:tcPr>
            <w:tcW w:w="826"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净稳定资金比例（</w:t>
            </w:r>
            <w:r w:rsidRPr="000F2EA6">
              <w:rPr>
                <w:rStyle w:val="font31"/>
                <w:rFonts w:ascii="Times New Roman" w:hAnsi="Times New Roman" w:cs="Times New Roman" w:hint="default"/>
              </w:rPr>
              <w:t>%</w:t>
            </w:r>
            <w:r w:rsidRPr="000F2EA6">
              <w:rPr>
                <w:rStyle w:val="font11"/>
              </w:rPr>
              <w:t>）</w:t>
            </w:r>
          </w:p>
        </w:tc>
        <w:tc>
          <w:tcPr>
            <w:tcW w:w="941"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869"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101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c>
          <w:tcPr>
            <w:tcW w:w="864" w:type="pct"/>
            <w:tcBorders>
              <w:top w:val="nil"/>
              <w:left w:val="nil"/>
              <w:bottom w:val="single" w:sz="8" w:space="0" w:color="000000"/>
              <w:right w:val="single" w:sz="8" w:space="0" w:color="000000"/>
            </w:tcBorders>
            <w:shd w:val="clear" w:color="auto" w:fill="auto"/>
            <w:vAlign w:val="center"/>
            <w:hideMark/>
          </w:tcPr>
          <w:p w:rsidR="00DC4A6C" w:rsidRPr="000F2EA6" w:rsidRDefault="00DC4A6C">
            <w:pPr>
              <w:jc w:val="cente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不适用</w:t>
            </w:r>
          </w:p>
        </w:tc>
      </w:tr>
      <w:tr w:rsidR="00DC4A6C" w:rsidRPr="000F2EA6" w:rsidTr="003423EC">
        <w:trPr>
          <w:trHeight w:val="315"/>
          <w:jc w:val="center"/>
        </w:trPr>
        <w:tc>
          <w:tcPr>
            <w:tcW w:w="5000" w:type="pct"/>
            <w:gridSpan w:val="6"/>
            <w:tcBorders>
              <w:top w:val="nil"/>
              <w:left w:val="single" w:sz="8" w:space="0" w:color="000000"/>
              <w:bottom w:val="single" w:sz="8" w:space="0" w:color="000000"/>
              <w:right w:val="single" w:sz="8" w:space="0" w:color="000000"/>
            </w:tcBorders>
            <w:shd w:val="clear" w:color="auto" w:fill="D8D8D8"/>
            <w:hideMark/>
          </w:tcPr>
          <w:p w:rsidR="00DC4A6C" w:rsidRPr="000F2EA6" w:rsidRDefault="00DC4A6C">
            <w:pPr>
              <w:rPr>
                <w:rFonts w:ascii="Times New Roman" w:eastAsia="仿宋_GB2312" w:hAnsi="Times New Roman" w:cs="Times New Roman"/>
                <w:b/>
                <w:bCs/>
                <w:color w:val="000000"/>
                <w:sz w:val="24"/>
              </w:rPr>
            </w:pPr>
            <w:r w:rsidRPr="000F2EA6">
              <w:rPr>
                <w:rFonts w:ascii="Times New Roman" w:eastAsia="仿宋_GB2312" w:hAnsi="Times New Roman" w:cs="Times New Roman"/>
                <w:b/>
                <w:bCs/>
                <w:color w:val="000000"/>
              </w:rPr>
              <w:t>流动性比例</w:t>
            </w:r>
          </w:p>
        </w:tc>
      </w:tr>
      <w:tr w:rsidR="003423EC" w:rsidRPr="000F2EA6" w:rsidTr="003423EC">
        <w:trPr>
          <w:trHeight w:val="615"/>
          <w:jc w:val="center"/>
        </w:trPr>
        <w:tc>
          <w:tcPr>
            <w:tcW w:w="487" w:type="pct"/>
            <w:tcBorders>
              <w:top w:val="nil"/>
              <w:left w:val="single" w:sz="8" w:space="0" w:color="000000"/>
              <w:bottom w:val="single" w:sz="8" w:space="0" w:color="000000"/>
              <w:right w:val="single" w:sz="8" w:space="0" w:color="000000"/>
            </w:tcBorders>
            <w:shd w:val="clear" w:color="auto" w:fill="FFFFFF"/>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21</w:t>
            </w:r>
          </w:p>
        </w:tc>
        <w:tc>
          <w:tcPr>
            <w:tcW w:w="826" w:type="pct"/>
            <w:tcBorders>
              <w:top w:val="nil"/>
              <w:left w:val="nil"/>
              <w:bottom w:val="single" w:sz="8" w:space="0" w:color="000000"/>
              <w:right w:val="single" w:sz="8" w:space="0" w:color="000000"/>
            </w:tcBorders>
            <w:shd w:val="clear" w:color="auto" w:fill="FFFFFF"/>
            <w:vAlign w:val="center"/>
            <w:hideMark/>
          </w:tcPr>
          <w:p w:rsidR="003423EC" w:rsidRPr="000F2EA6" w:rsidRDefault="003423EC">
            <w:pPr>
              <w:rPr>
                <w:rFonts w:ascii="Times New Roman" w:eastAsia="仿宋_GB2312" w:hAnsi="Times New Roman" w:cs="Times New Roman"/>
                <w:color w:val="000000"/>
                <w:sz w:val="24"/>
              </w:rPr>
            </w:pPr>
            <w:r w:rsidRPr="000F2EA6">
              <w:rPr>
                <w:rFonts w:ascii="Times New Roman" w:eastAsia="仿宋_GB2312" w:hAnsi="Times New Roman" w:cs="Times New Roman"/>
                <w:color w:val="000000"/>
              </w:rPr>
              <w:t>流动性比例（</w:t>
            </w:r>
            <w:r w:rsidRPr="000F2EA6">
              <w:rPr>
                <w:rStyle w:val="font31"/>
                <w:rFonts w:ascii="Times New Roman" w:hAnsi="Times New Roman" w:cs="Times New Roman" w:hint="default"/>
              </w:rPr>
              <w:t>%</w:t>
            </w:r>
            <w:r w:rsidRPr="000F2EA6">
              <w:rPr>
                <w:rStyle w:val="font11"/>
              </w:rPr>
              <w:t>）</w:t>
            </w:r>
          </w:p>
        </w:tc>
        <w:tc>
          <w:tcPr>
            <w:tcW w:w="941" w:type="pct"/>
            <w:tcBorders>
              <w:top w:val="nil"/>
              <w:left w:val="nil"/>
              <w:bottom w:val="single" w:sz="8" w:space="0" w:color="000000"/>
              <w:right w:val="single" w:sz="8" w:space="0" w:color="000000"/>
            </w:tcBorders>
            <w:shd w:val="clear" w:color="auto" w:fill="auto"/>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 xml:space="preserve">109.98 </w:t>
            </w:r>
          </w:p>
        </w:tc>
        <w:tc>
          <w:tcPr>
            <w:tcW w:w="869" w:type="pct"/>
            <w:tcBorders>
              <w:top w:val="nil"/>
              <w:left w:val="nil"/>
              <w:bottom w:val="single" w:sz="8" w:space="0" w:color="000000"/>
              <w:right w:val="single" w:sz="8" w:space="0" w:color="000000"/>
            </w:tcBorders>
            <w:shd w:val="clear" w:color="auto" w:fill="FFFFFF"/>
            <w:vAlign w:val="center"/>
            <w:hideMark/>
          </w:tcPr>
          <w:p w:rsidR="003423EC" w:rsidRPr="000F2EA6" w:rsidRDefault="003423EC" w:rsidP="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104.14</w:t>
            </w:r>
          </w:p>
        </w:tc>
        <w:tc>
          <w:tcPr>
            <w:tcW w:w="1014" w:type="pct"/>
            <w:tcBorders>
              <w:top w:val="nil"/>
              <w:left w:val="nil"/>
              <w:bottom w:val="single" w:sz="8" w:space="0" w:color="000000"/>
              <w:right w:val="single" w:sz="8" w:space="0" w:color="000000"/>
            </w:tcBorders>
            <w:shd w:val="clear" w:color="auto" w:fill="FFFFFF"/>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110.05</w:t>
            </w:r>
          </w:p>
        </w:tc>
        <w:tc>
          <w:tcPr>
            <w:tcW w:w="864" w:type="pct"/>
            <w:tcBorders>
              <w:top w:val="nil"/>
              <w:left w:val="nil"/>
              <w:bottom w:val="single" w:sz="8" w:space="0" w:color="000000"/>
              <w:right w:val="single" w:sz="8" w:space="0" w:color="000000"/>
            </w:tcBorders>
            <w:shd w:val="clear" w:color="auto" w:fill="FFFFFF"/>
            <w:vAlign w:val="center"/>
            <w:hideMark/>
          </w:tcPr>
          <w:p w:rsidR="003423EC" w:rsidRPr="000F2EA6" w:rsidRDefault="003423EC">
            <w:pPr>
              <w:jc w:val="center"/>
              <w:rPr>
                <w:rFonts w:ascii="Times New Roman" w:eastAsia="宋体" w:hAnsi="Times New Roman" w:cs="Times New Roman"/>
                <w:color w:val="000000"/>
                <w:sz w:val="24"/>
              </w:rPr>
            </w:pPr>
            <w:r w:rsidRPr="000F2EA6">
              <w:rPr>
                <w:rFonts w:ascii="Times New Roman" w:hAnsi="Times New Roman" w:cs="Times New Roman"/>
                <w:color w:val="000000"/>
              </w:rPr>
              <w:t>118.36</w:t>
            </w:r>
          </w:p>
        </w:tc>
      </w:tr>
    </w:tbl>
    <w:p w:rsidR="00956B56" w:rsidRPr="000F2EA6" w:rsidRDefault="000609F4">
      <w:pPr>
        <w:pStyle w:val="a3"/>
        <w:widowControl/>
        <w:spacing w:beforeAutospacing="0" w:afterAutospacing="0" w:line="560" w:lineRule="exact"/>
        <w:ind w:firstLineChars="900" w:firstLine="2880"/>
        <w:jc w:val="both"/>
        <w:rPr>
          <w:rFonts w:ascii="Times New Roman" w:eastAsia="仿宋_GB2312" w:hAnsi="Times New Roman"/>
          <w:sz w:val="32"/>
          <w:szCs w:val="32"/>
        </w:rPr>
      </w:pPr>
      <w:r w:rsidRPr="000F2EA6">
        <w:rPr>
          <w:rFonts w:ascii="Times New Roman" w:eastAsia="仿宋_GB2312" w:hAnsi="Times New Roman"/>
          <w:sz w:val="32"/>
          <w:szCs w:val="32"/>
        </w:rPr>
        <w:t>江苏</w:t>
      </w:r>
      <w:r w:rsidR="002D225E" w:rsidRPr="000F2EA6">
        <w:rPr>
          <w:rFonts w:ascii="Times New Roman" w:eastAsia="仿宋_GB2312" w:hAnsi="Times New Roman"/>
          <w:sz w:val="32"/>
          <w:szCs w:val="32"/>
        </w:rPr>
        <w:t>泰兴</w:t>
      </w:r>
      <w:r w:rsidRPr="000F2EA6">
        <w:rPr>
          <w:rFonts w:ascii="Times New Roman" w:eastAsia="仿宋_GB2312" w:hAnsi="Times New Roman"/>
          <w:sz w:val="32"/>
          <w:szCs w:val="32"/>
        </w:rPr>
        <w:t>农村商业银行股份有限公司</w:t>
      </w:r>
    </w:p>
    <w:p w:rsidR="00956B56" w:rsidRPr="000F2EA6" w:rsidRDefault="000609F4">
      <w:pPr>
        <w:pStyle w:val="a3"/>
        <w:widowControl/>
        <w:spacing w:beforeAutospacing="0" w:afterAutospacing="0" w:line="560" w:lineRule="exact"/>
        <w:ind w:firstLineChars="1300" w:firstLine="4160"/>
        <w:jc w:val="both"/>
        <w:rPr>
          <w:rFonts w:ascii="Times New Roman" w:eastAsia="仿宋_GB2312" w:hAnsi="Times New Roman"/>
          <w:sz w:val="32"/>
          <w:szCs w:val="32"/>
        </w:rPr>
      </w:pPr>
      <w:r w:rsidRPr="000F2EA6">
        <w:rPr>
          <w:rFonts w:ascii="Times New Roman" w:eastAsia="仿宋_GB2312" w:hAnsi="Times New Roman"/>
          <w:sz w:val="32"/>
          <w:szCs w:val="32"/>
        </w:rPr>
        <w:t>202</w:t>
      </w:r>
      <w:r w:rsidR="000F5B47" w:rsidRPr="000F2EA6">
        <w:rPr>
          <w:rFonts w:ascii="Times New Roman" w:eastAsia="仿宋_GB2312" w:hAnsi="Times New Roman"/>
          <w:sz w:val="32"/>
          <w:szCs w:val="32"/>
        </w:rPr>
        <w:t>6</w:t>
      </w:r>
      <w:r w:rsidRPr="000F2EA6">
        <w:rPr>
          <w:rFonts w:ascii="Times New Roman" w:eastAsia="仿宋_GB2312" w:hAnsi="Times New Roman"/>
          <w:sz w:val="32"/>
          <w:szCs w:val="32"/>
        </w:rPr>
        <w:t>年</w:t>
      </w:r>
      <w:r w:rsidR="002105D4" w:rsidRPr="000F2EA6">
        <w:rPr>
          <w:rFonts w:ascii="Times New Roman" w:eastAsia="仿宋_GB2312" w:hAnsi="Times New Roman"/>
          <w:sz w:val="32"/>
          <w:szCs w:val="32"/>
        </w:rPr>
        <w:t>4</w:t>
      </w:r>
      <w:r w:rsidRPr="000F2EA6">
        <w:rPr>
          <w:rFonts w:ascii="Times New Roman" w:eastAsia="仿宋_GB2312" w:hAnsi="Times New Roman"/>
          <w:sz w:val="32"/>
          <w:szCs w:val="32"/>
        </w:rPr>
        <w:t>月</w:t>
      </w:r>
      <w:bookmarkStart w:id="0" w:name="_GoBack"/>
      <w:bookmarkEnd w:id="0"/>
      <w:r w:rsidR="000F5B47" w:rsidRPr="000F2EA6">
        <w:rPr>
          <w:rFonts w:ascii="Times New Roman" w:eastAsia="仿宋_GB2312" w:hAnsi="Times New Roman"/>
          <w:sz w:val="32"/>
          <w:szCs w:val="32"/>
        </w:rPr>
        <w:t>30</w:t>
      </w:r>
      <w:r w:rsidRPr="000F2EA6">
        <w:rPr>
          <w:rFonts w:ascii="Times New Roman" w:eastAsia="仿宋_GB2312" w:hAnsi="Times New Roman"/>
          <w:sz w:val="32"/>
          <w:szCs w:val="32"/>
        </w:rPr>
        <w:t>日</w:t>
      </w:r>
    </w:p>
    <w:sectPr w:rsidR="00956B56" w:rsidRPr="000F2EA6" w:rsidSect="00956B5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035E" w:rsidRDefault="0068035E" w:rsidP="003D4B92">
      <w:pPr>
        <w:ind w:firstLine="420"/>
      </w:pPr>
      <w:r>
        <w:separator/>
      </w:r>
    </w:p>
  </w:endnote>
  <w:endnote w:type="continuationSeparator" w:id="1">
    <w:p w:rsidR="0068035E" w:rsidRDefault="0068035E" w:rsidP="003D4B92">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035E" w:rsidRDefault="0068035E" w:rsidP="003D4B92">
      <w:pPr>
        <w:ind w:firstLine="420"/>
      </w:pPr>
      <w:r>
        <w:separator/>
      </w:r>
    </w:p>
  </w:footnote>
  <w:footnote w:type="continuationSeparator" w:id="1">
    <w:p w:rsidR="0068035E" w:rsidRDefault="0068035E" w:rsidP="003D4B92">
      <w:pPr>
        <w:ind w:firstLine="42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956B56"/>
    <w:rsid w:val="00007716"/>
    <w:rsid w:val="00011A46"/>
    <w:rsid w:val="00020829"/>
    <w:rsid w:val="00045E0D"/>
    <w:rsid w:val="000609F4"/>
    <w:rsid w:val="000A160A"/>
    <w:rsid w:val="000D4916"/>
    <w:rsid w:val="000F2EA6"/>
    <w:rsid w:val="000F5B47"/>
    <w:rsid w:val="00140FAE"/>
    <w:rsid w:val="00163A40"/>
    <w:rsid w:val="00176CF2"/>
    <w:rsid w:val="001E484B"/>
    <w:rsid w:val="002105D4"/>
    <w:rsid w:val="0023463C"/>
    <w:rsid w:val="002A0F28"/>
    <w:rsid w:val="002D225E"/>
    <w:rsid w:val="002E2FED"/>
    <w:rsid w:val="0031323C"/>
    <w:rsid w:val="0033081B"/>
    <w:rsid w:val="0033657D"/>
    <w:rsid w:val="003423EC"/>
    <w:rsid w:val="003666A5"/>
    <w:rsid w:val="00383815"/>
    <w:rsid w:val="003C2708"/>
    <w:rsid w:val="003C46E6"/>
    <w:rsid w:val="003D4B92"/>
    <w:rsid w:val="003F0F94"/>
    <w:rsid w:val="00401B29"/>
    <w:rsid w:val="00451211"/>
    <w:rsid w:val="005058DF"/>
    <w:rsid w:val="0052353C"/>
    <w:rsid w:val="00583016"/>
    <w:rsid w:val="005A2144"/>
    <w:rsid w:val="005C0085"/>
    <w:rsid w:val="00604840"/>
    <w:rsid w:val="00614204"/>
    <w:rsid w:val="0064487A"/>
    <w:rsid w:val="00677F9A"/>
    <w:rsid w:val="0068035E"/>
    <w:rsid w:val="006A5771"/>
    <w:rsid w:val="006A5C33"/>
    <w:rsid w:val="007A66A1"/>
    <w:rsid w:val="007D6136"/>
    <w:rsid w:val="007E5A61"/>
    <w:rsid w:val="00826F6D"/>
    <w:rsid w:val="008569E5"/>
    <w:rsid w:val="00864BF9"/>
    <w:rsid w:val="00902345"/>
    <w:rsid w:val="00956B56"/>
    <w:rsid w:val="00967B65"/>
    <w:rsid w:val="009942C5"/>
    <w:rsid w:val="009B484A"/>
    <w:rsid w:val="009B50DC"/>
    <w:rsid w:val="009E7D40"/>
    <w:rsid w:val="009F351A"/>
    <w:rsid w:val="00A225BA"/>
    <w:rsid w:val="00A401B2"/>
    <w:rsid w:val="00A7083A"/>
    <w:rsid w:val="00AA42F8"/>
    <w:rsid w:val="00AE4B10"/>
    <w:rsid w:val="00B361A7"/>
    <w:rsid w:val="00B65F8E"/>
    <w:rsid w:val="00B7285F"/>
    <w:rsid w:val="00B906FF"/>
    <w:rsid w:val="00B95D6E"/>
    <w:rsid w:val="00C37745"/>
    <w:rsid w:val="00C56DE8"/>
    <w:rsid w:val="00CD639C"/>
    <w:rsid w:val="00D32151"/>
    <w:rsid w:val="00D84174"/>
    <w:rsid w:val="00D92852"/>
    <w:rsid w:val="00DC4A6C"/>
    <w:rsid w:val="00E657F0"/>
    <w:rsid w:val="00E9373B"/>
    <w:rsid w:val="00E93BCD"/>
    <w:rsid w:val="00ED1710"/>
    <w:rsid w:val="00EF5F9B"/>
    <w:rsid w:val="00F47362"/>
    <w:rsid w:val="00F958E8"/>
    <w:rsid w:val="00FA0225"/>
    <w:rsid w:val="00FA77D3"/>
    <w:rsid w:val="00FB0422"/>
    <w:rsid w:val="01E60688"/>
    <w:rsid w:val="030A5E0C"/>
    <w:rsid w:val="174B5883"/>
    <w:rsid w:val="17D320BE"/>
    <w:rsid w:val="1A1B5FB9"/>
    <w:rsid w:val="246D64BE"/>
    <w:rsid w:val="25222EA9"/>
    <w:rsid w:val="2A687315"/>
    <w:rsid w:val="2F8E6715"/>
    <w:rsid w:val="3CA5756E"/>
    <w:rsid w:val="3CB57C88"/>
    <w:rsid w:val="40652DD7"/>
    <w:rsid w:val="44D36FD7"/>
    <w:rsid w:val="4B22296B"/>
    <w:rsid w:val="594C777E"/>
    <w:rsid w:val="5C2A5C3F"/>
    <w:rsid w:val="5E70368B"/>
    <w:rsid w:val="5EB56E8D"/>
    <w:rsid w:val="60802F3A"/>
    <w:rsid w:val="68984963"/>
    <w:rsid w:val="6B6B0FB2"/>
    <w:rsid w:val="6D531233"/>
    <w:rsid w:val="6F5B6E4A"/>
    <w:rsid w:val="6FDB69B8"/>
    <w:rsid w:val="70235C36"/>
    <w:rsid w:val="722768C3"/>
    <w:rsid w:val="73D21981"/>
    <w:rsid w:val="750C1DC3"/>
    <w:rsid w:val="79C416FF"/>
    <w:rsid w:val="7D9D24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56B56"/>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956B56"/>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956B56"/>
    <w:pPr>
      <w:spacing w:beforeAutospacing="1" w:afterAutospacing="1"/>
      <w:jc w:val="left"/>
    </w:pPr>
    <w:rPr>
      <w:rFonts w:cs="Times New Roman"/>
      <w:kern w:val="0"/>
      <w:sz w:val="24"/>
    </w:rPr>
  </w:style>
  <w:style w:type="character" w:styleId="a4">
    <w:name w:val="Strong"/>
    <w:basedOn w:val="a0"/>
    <w:qFormat/>
    <w:rsid w:val="00956B56"/>
    <w:rPr>
      <w:b/>
    </w:rPr>
  </w:style>
  <w:style w:type="character" w:styleId="a5">
    <w:name w:val="FollowedHyperlink"/>
    <w:basedOn w:val="a0"/>
    <w:qFormat/>
    <w:rsid w:val="00956B56"/>
    <w:rPr>
      <w:color w:val="800080"/>
      <w:u w:val="none"/>
    </w:rPr>
  </w:style>
  <w:style w:type="character" w:styleId="a6">
    <w:name w:val="Emphasis"/>
    <w:basedOn w:val="a0"/>
    <w:qFormat/>
    <w:rsid w:val="00956B56"/>
  </w:style>
  <w:style w:type="character" w:styleId="a7">
    <w:name w:val="Hyperlink"/>
    <w:basedOn w:val="a0"/>
    <w:qFormat/>
    <w:rsid w:val="00956B56"/>
    <w:rPr>
      <w:color w:val="0000FF"/>
      <w:u w:val="none"/>
    </w:rPr>
  </w:style>
  <w:style w:type="character" w:customStyle="1" w:styleId="first-child1">
    <w:name w:val="first-child1"/>
    <w:basedOn w:val="a0"/>
    <w:qFormat/>
    <w:rsid w:val="00956B56"/>
  </w:style>
  <w:style w:type="character" w:customStyle="1" w:styleId="first-child2">
    <w:name w:val="first-child2"/>
    <w:basedOn w:val="a0"/>
    <w:qFormat/>
    <w:rsid w:val="00956B56"/>
    <w:rPr>
      <w:b/>
      <w:color w:val="FF6D00"/>
      <w:sz w:val="38"/>
      <w:szCs w:val="38"/>
    </w:rPr>
  </w:style>
  <w:style w:type="character" w:customStyle="1" w:styleId="last-child">
    <w:name w:val="last-child"/>
    <w:basedOn w:val="a0"/>
    <w:qFormat/>
    <w:rsid w:val="00956B56"/>
  </w:style>
  <w:style w:type="character" w:customStyle="1" w:styleId="last-child1">
    <w:name w:val="last-child1"/>
    <w:basedOn w:val="a0"/>
    <w:qFormat/>
    <w:rsid w:val="00956B56"/>
  </w:style>
  <w:style w:type="character" w:customStyle="1" w:styleId="first-childspan">
    <w:name w:val="first-child+span"/>
    <w:basedOn w:val="a0"/>
    <w:qFormat/>
    <w:rsid w:val="00956B56"/>
    <w:rPr>
      <w:b/>
      <w:sz w:val="20"/>
      <w:szCs w:val="20"/>
    </w:rPr>
  </w:style>
  <w:style w:type="character" w:customStyle="1" w:styleId="font21">
    <w:name w:val="font21"/>
    <w:basedOn w:val="a0"/>
    <w:rsid w:val="00956B56"/>
    <w:rPr>
      <w:rFonts w:ascii="微软雅黑" w:eastAsia="微软雅黑" w:hAnsi="微软雅黑" w:cs="微软雅黑" w:hint="eastAsia"/>
      <w:b/>
      <w:bCs/>
      <w:color w:val="000000"/>
      <w:sz w:val="18"/>
      <w:szCs w:val="18"/>
      <w:u w:val="none"/>
    </w:rPr>
  </w:style>
  <w:style w:type="character" w:customStyle="1" w:styleId="font01">
    <w:name w:val="font01"/>
    <w:basedOn w:val="a0"/>
    <w:rsid w:val="00956B56"/>
    <w:rPr>
      <w:rFonts w:ascii="微软雅黑" w:eastAsia="微软雅黑" w:hAnsi="微软雅黑" w:cs="微软雅黑" w:hint="eastAsia"/>
      <w:color w:val="000000"/>
      <w:sz w:val="18"/>
      <w:szCs w:val="18"/>
      <w:u w:val="none"/>
    </w:rPr>
  </w:style>
  <w:style w:type="paragraph" w:styleId="a8">
    <w:name w:val="header"/>
    <w:basedOn w:val="a"/>
    <w:link w:val="Char"/>
    <w:rsid w:val="003D4B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3D4B92"/>
    <w:rPr>
      <w:rFonts w:asciiTheme="minorHAnsi" w:eastAsiaTheme="minorEastAsia" w:hAnsiTheme="minorHAnsi" w:cstheme="minorBidi"/>
      <w:kern w:val="2"/>
      <w:sz w:val="18"/>
      <w:szCs w:val="18"/>
    </w:rPr>
  </w:style>
  <w:style w:type="paragraph" w:styleId="a9">
    <w:name w:val="footer"/>
    <w:basedOn w:val="a"/>
    <w:link w:val="Char0"/>
    <w:rsid w:val="003D4B92"/>
    <w:pPr>
      <w:tabs>
        <w:tab w:val="center" w:pos="4153"/>
        <w:tab w:val="right" w:pos="8306"/>
      </w:tabs>
      <w:snapToGrid w:val="0"/>
      <w:jc w:val="left"/>
    </w:pPr>
    <w:rPr>
      <w:sz w:val="18"/>
      <w:szCs w:val="18"/>
    </w:rPr>
  </w:style>
  <w:style w:type="character" w:customStyle="1" w:styleId="Char0">
    <w:name w:val="页脚 Char"/>
    <w:basedOn w:val="a0"/>
    <w:link w:val="a9"/>
    <w:rsid w:val="003D4B92"/>
    <w:rPr>
      <w:rFonts w:asciiTheme="minorHAnsi" w:eastAsiaTheme="minorEastAsia" w:hAnsiTheme="minorHAnsi" w:cstheme="minorBidi"/>
      <w:kern w:val="2"/>
      <w:sz w:val="18"/>
      <w:szCs w:val="18"/>
    </w:rPr>
  </w:style>
  <w:style w:type="character" w:customStyle="1" w:styleId="font11">
    <w:name w:val="font11"/>
    <w:basedOn w:val="a0"/>
    <w:rsid w:val="002E2FE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font31">
    <w:name w:val="font31"/>
    <w:basedOn w:val="a0"/>
    <w:rsid w:val="002E2FED"/>
    <w:rPr>
      <w:rFonts w:ascii="仿宋_GB2312" w:eastAsia="仿宋_GB2312" w:hint="eastAsia"/>
      <w:b w:val="0"/>
      <w:bCs w:val="0"/>
      <w:i w:val="0"/>
      <w:iCs w:val="0"/>
      <w:strike w:val="0"/>
      <w:dstrike w:val="0"/>
      <w:color w:val="000000"/>
      <w:sz w:val="28"/>
      <w:szCs w:val="28"/>
      <w:u w:val="none"/>
      <w:effect w:val="none"/>
    </w:rPr>
  </w:style>
  <w:style w:type="character" w:customStyle="1" w:styleId="font41">
    <w:name w:val="font41"/>
    <w:basedOn w:val="a0"/>
    <w:rsid w:val="005058DF"/>
    <w:rPr>
      <w:rFonts w:ascii="仿宋_GB2312" w:eastAsia="仿宋_GB2312" w:hint="eastAsia"/>
      <w:b/>
      <w:bCs/>
      <w:i w:val="0"/>
      <w:iCs w:val="0"/>
      <w:strike w:val="0"/>
      <w:dstrike w:val="0"/>
      <w:color w:val="000000"/>
      <w:sz w:val="28"/>
      <w:szCs w:val="28"/>
      <w:u w:val="none"/>
      <w:effect w:val="none"/>
    </w:rPr>
  </w:style>
  <w:style w:type="character" w:customStyle="1" w:styleId="font51">
    <w:name w:val="font51"/>
    <w:basedOn w:val="a0"/>
    <w:rsid w:val="005058DF"/>
    <w:rPr>
      <w:rFonts w:ascii="Times New Roman" w:hAnsi="Times New Roman" w:cs="Times New Roman" w:hint="default"/>
      <w:b w:val="0"/>
      <w:bCs w:val="0"/>
      <w:i w:val="0"/>
      <w:iCs w:val="0"/>
      <w:strike w:val="0"/>
      <w:dstrike w:val="0"/>
      <w:color w:val="000000"/>
      <w:sz w:val="28"/>
      <w:szCs w:val="28"/>
      <w:u w:val="none"/>
      <w:effect w:val="none"/>
    </w:rPr>
  </w:style>
</w:styles>
</file>

<file path=word/webSettings.xml><?xml version="1.0" encoding="utf-8"?>
<w:webSettings xmlns:r="http://schemas.openxmlformats.org/officeDocument/2006/relationships" xmlns:w="http://schemas.openxmlformats.org/wordprocessingml/2006/main">
  <w:divs>
    <w:div w:id="38550773">
      <w:bodyDiv w:val="1"/>
      <w:marLeft w:val="0"/>
      <w:marRight w:val="0"/>
      <w:marTop w:val="0"/>
      <w:marBottom w:val="0"/>
      <w:divBdr>
        <w:top w:val="none" w:sz="0" w:space="0" w:color="auto"/>
        <w:left w:val="none" w:sz="0" w:space="0" w:color="auto"/>
        <w:bottom w:val="none" w:sz="0" w:space="0" w:color="auto"/>
        <w:right w:val="none" w:sz="0" w:space="0" w:color="auto"/>
      </w:divBdr>
    </w:div>
    <w:div w:id="86654553">
      <w:bodyDiv w:val="1"/>
      <w:marLeft w:val="0"/>
      <w:marRight w:val="0"/>
      <w:marTop w:val="0"/>
      <w:marBottom w:val="0"/>
      <w:divBdr>
        <w:top w:val="none" w:sz="0" w:space="0" w:color="auto"/>
        <w:left w:val="none" w:sz="0" w:space="0" w:color="auto"/>
        <w:bottom w:val="none" w:sz="0" w:space="0" w:color="auto"/>
        <w:right w:val="none" w:sz="0" w:space="0" w:color="auto"/>
      </w:divBdr>
    </w:div>
    <w:div w:id="91050188">
      <w:bodyDiv w:val="1"/>
      <w:marLeft w:val="0"/>
      <w:marRight w:val="0"/>
      <w:marTop w:val="0"/>
      <w:marBottom w:val="0"/>
      <w:divBdr>
        <w:top w:val="none" w:sz="0" w:space="0" w:color="auto"/>
        <w:left w:val="none" w:sz="0" w:space="0" w:color="auto"/>
        <w:bottom w:val="none" w:sz="0" w:space="0" w:color="auto"/>
        <w:right w:val="none" w:sz="0" w:space="0" w:color="auto"/>
      </w:divBdr>
    </w:div>
    <w:div w:id="139925289">
      <w:bodyDiv w:val="1"/>
      <w:marLeft w:val="0"/>
      <w:marRight w:val="0"/>
      <w:marTop w:val="0"/>
      <w:marBottom w:val="0"/>
      <w:divBdr>
        <w:top w:val="none" w:sz="0" w:space="0" w:color="auto"/>
        <w:left w:val="none" w:sz="0" w:space="0" w:color="auto"/>
        <w:bottom w:val="none" w:sz="0" w:space="0" w:color="auto"/>
        <w:right w:val="none" w:sz="0" w:space="0" w:color="auto"/>
      </w:divBdr>
    </w:div>
    <w:div w:id="279917498">
      <w:bodyDiv w:val="1"/>
      <w:marLeft w:val="0"/>
      <w:marRight w:val="0"/>
      <w:marTop w:val="0"/>
      <w:marBottom w:val="0"/>
      <w:divBdr>
        <w:top w:val="none" w:sz="0" w:space="0" w:color="auto"/>
        <w:left w:val="none" w:sz="0" w:space="0" w:color="auto"/>
        <w:bottom w:val="none" w:sz="0" w:space="0" w:color="auto"/>
        <w:right w:val="none" w:sz="0" w:space="0" w:color="auto"/>
      </w:divBdr>
    </w:div>
    <w:div w:id="379011247">
      <w:bodyDiv w:val="1"/>
      <w:marLeft w:val="0"/>
      <w:marRight w:val="0"/>
      <w:marTop w:val="0"/>
      <w:marBottom w:val="0"/>
      <w:divBdr>
        <w:top w:val="none" w:sz="0" w:space="0" w:color="auto"/>
        <w:left w:val="none" w:sz="0" w:space="0" w:color="auto"/>
        <w:bottom w:val="none" w:sz="0" w:space="0" w:color="auto"/>
        <w:right w:val="none" w:sz="0" w:space="0" w:color="auto"/>
      </w:divBdr>
    </w:div>
    <w:div w:id="526716682">
      <w:bodyDiv w:val="1"/>
      <w:marLeft w:val="0"/>
      <w:marRight w:val="0"/>
      <w:marTop w:val="0"/>
      <w:marBottom w:val="0"/>
      <w:divBdr>
        <w:top w:val="none" w:sz="0" w:space="0" w:color="auto"/>
        <w:left w:val="none" w:sz="0" w:space="0" w:color="auto"/>
        <w:bottom w:val="none" w:sz="0" w:space="0" w:color="auto"/>
        <w:right w:val="none" w:sz="0" w:space="0" w:color="auto"/>
      </w:divBdr>
    </w:div>
    <w:div w:id="590696155">
      <w:bodyDiv w:val="1"/>
      <w:marLeft w:val="0"/>
      <w:marRight w:val="0"/>
      <w:marTop w:val="0"/>
      <w:marBottom w:val="0"/>
      <w:divBdr>
        <w:top w:val="none" w:sz="0" w:space="0" w:color="auto"/>
        <w:left w:val="none" w:sz="0" w:space="0" w:color="auto"/>
        <w:bottom w:val="none" w:sz="0" w:space="0" w:color="auto"/>
        <w:right w:val="none" w:sz="0" w:space="0" w:color="auto"/>
      </w:divBdr>
    </w:div>
    <w:div w:id="620572638">
      <w:bodyDiv w:val="1"/>
      <w:marLeft w:val="0"/>
      <w:marRight w:val="0"/>
      <w:marTop w:val="0"/>
      <w:marBottom w:val="0"/>
      <w:divBdr>
        <w:top w:val="none" w:sz="0" w:space="0" w:color="auto"/>
        <w:left w:val="none" w:sz="0" w:space="0" w:color="auto"/>
        <w:bottom w:val="none" w:sz="0" w:space="0" w:color="auto"/>
        <w:right w:val="none" w:sz="0" w:space="0" w:color="auto"/>
      </w:divBdr>
    </w:div>
    <w:div w:id="889921247">
      <w:bodyDiv w:val="1"/>
      <w:marLeft w:val="0"/>
      <w:marRight w:val="0"/>
      <w:marTop w:val="0"/>
      <w:marBottom w:val="0"/>
      <w:divBdr>
        <w:top w:val="none" w:sz="0" w:space="0" w:color="auto"/>
        <w:left w:val="none" w:sz="0" w:space="0" w:color="auto"/>
        <w:bottom w:val="none" w:sz="0" w:space="0" w:color="auto"/>
        <w:right w:val="none" w:sz="0" w:space="0" w:color="auto"/>
      </w:divBdr>
    </w:div>
    <w:div w:id="903759263">
      <w:bodyDiv w:val="1"/>
      <w:marLeft w:val="0"/>
      <w:marRight w:val="0"/>
      <w:marTop w:val="0"/>
      <w:marBottom w:val="0"/>
      <w:divBdr>
        <w:top w:val="none" w:sz="0" w:space="0" w:color="auto"/>
        <w:left w:val="none" w:sz="0" w:space="0" w:color="auto"/>
        <w:bottom w:val="none" w:sz="0" w:space="0" w:color="auto"/>
        <w:right w:val="none" w:sz="0" w:space="0" w:color="auto"/>
      </w:divBdr>
    </w:div>
    <w:div w:id="965115623">
      <w:bodyDiv w:val="1"/>
      <w:marLeft w:val="0"/>
      <w:marRight w:val="0"/>
      <w:marTop w:val="0"/>
      <w:marBottom w:val="0"/>
      <w:divBdr>
        <w:top w:val="none" w:sz="0" w:space="0" w:color="auto"/>
        <w:left w:val="none" w:sz="0" w:space="0" w:color="auto"/>
        <w:bottom w:val="none" w:sz="0" w:space="0" w:color="auto"/>
        <w:right w:val="none" w:sz="0" w:space="0" w:color="auto"/>
      </w:divBdr>
    </w:div>
    <w:div w:id="1161854551">
      <w:bodyDiv w:val="1"/>
      <w:marLeft w:val="0"/>
      <w:marRight w:val="0"/>
      <w:marTop w:val="0"/>
      <w:marBottom w:val="0"/>
      <w:divBdr>
        <w:top w:val="none" w:sz="0" w:space="0" w:color="auto"/>
        <w:left w:val="none" w:sz="0" w:space="0" w:color="auto"/>
        <w:bottom w:val="none" w:sz="0" w:space="0" w:color="auto"/>
        <w:right w:val="none" w:sz="0" w:space="0" w:color="auto"/>
      </w:divBdr>
    </w:div>
    <w:div w:id="1226725167">
      <w:bodyDiv w:val="1"/>
      <w:marLeft w:val="0"/>
      <w:marRight w:val="0"/>
      <w:marTop w:val="0"/>
      <w:marBottom w:val="0"/>
      <w:divBdr>
        <w:top w:val="none" w:sz="0" w:space="0" w:color="auto"/>
        <w:left w:val="none" w:sz="0" w:space="0" w:color="auto"/>
        <w:bottom w:val="none" w:sz="0" w:space="0" w:color="auto"/>
        <w:right w:val="none" w:sz="0" w:space="0" w:color="auto"/>
      </w:divBdr>
    </w:div>
    <w:div w:id="1232693261">
      <w:bodyDiv w:val="1"/>
      <w:marLeft w:val="0"/>
      <w:marRight w:val="0"/>
      <w:marTop w:val="0"/>
      <w:marBottom w:val="0"/>
      <w:divBdr>
        <w:top w:val="none" w:sz="0" w:space="0" w:color="auto"/>
        <w:left w:val="none" w:sz="0" w:space="0" w:color="auto"/>
        <w:bottom w:val="none" w:sz="0" w:space="0" w:color="auto"/>
        <w:right w:val="none" w:sz="0" w:space="0" w:color="auto"/>
      </w:divBdr>
    </w:div>
    <w:div w:id="1260020243">
      <w:bodyDiv w:val="1"/>
      <w:marLeft w:val="0"/>
      <w:marRight w:val="0"/>
      <w:marTop w:val="0"/>
      <w:marBottom w:val="0"/>
      <w:divBdr>
        <w:top w:val="none" w:sz="0" w:space="0" w:color="auto"/>
        <w:left w:val="none" w:sz="0" w:space="0" w:color="auto"/>
        <w:bottom w:val="none" w:sz="0" w:space="0" w:color="auto"/>
        <w:right w:val="none" w:sz="0" w:space="0" w:color="auto"/>
      </w:divBdr>
    </w:div>
    <w:div w:id="1300960710">
      <w:bodyDiv w:val="1"/>
      <w:marLeft w:val="0"/>
      <w:marRight w:val="0"/>
      <w:marTop w:val="0"/>
      <w:marBottom w:val="0"/>
      <w:divBdr>
        <w:top w:val="none" w:sz="0" w:space="0" w:color="auto"/>
        <w:left w:val="none" w:sz="0" w:space="0" w:color="auto"/>
        <w:bottom w:val="none" w:sz="0" w:space="0" w:color="auto"/>
        <w:right w:val="none" w:sz="0" w:space="0" w:color="auto"/>
      </w:divBdr>
    </w:div>
    <w:div w:id="1363945112">
      <w:bodyDiv w:val="1"/>
      <w:marLeft w:val="0"/>
      <w:marRight w:val="0"/>
      <w:marTop w:val="0"/>
      <w:marBottom w:val="0"/>
      <w:divBdr>
        <w:top w:val="none" w:sz="0" w:space="0" w:color="auto"/>
        <w:left w:val="none" w:sz="0" w:space="0" w:color="auto"/>
        <w:bottom w:val="none" w:sz="0" w:space="0" w:color="auto"/>
        <w:right w:val="none" w:sz="0" w:space="0" w:color="auto"/>
      </w:divBdr>
    </w:div>
    <w:div w:id="1376734663">
      <w:bodyDiv w:val="1"/>
      <w:marLeft w:val="0"/>
      <w:marRight w:val="0"/>
      <w:marTop w:val="0"/>
      <w:marBottom w:val="0"/>
      <w:divBdr>
        <w:top w:val="none" w:sz="0" w:space="0" w:color="auto"/>
        <w:left w:val="none" w:sz="0" w:space="0" w:color="auto"/>
        <w:bottom w:val="none" w:sz="0" w:space="0" w:color="auto"/>
        <w:right w:val="none" w:sz="0" w:space="0" w:color="auto"/>
      </w:divBdr>
    </w:div>
    <w:div w:id="1425875698">
      <w:bodyDiv w:val="1"/>
      <w:marLeft w:val="0"/>
      <w:marRight w:val="0"/>
      <w:marTop w:val="0"/>
      <w:marBottom w:val="0"/>
      <w:divBdr>
        <w:top w:val="none" w:sz="0" w:space="0" w:color="auto"/>
        <w:left w:val="none" w:sz="0" w:space="0" w:color="auto"/>
        <w:bottom w:val="none" w:sz="0" w:space="0" w:color="auto"/>
        <w:right w:val="none" w:sz="0" w:space="0" w:color="auto"/>
      </w:divBdr>
    </w:div>
    <w:div w:id="1528641573">
      <w:bodyDiv w:val="1"/>
      <w:marLeft w:val="0"/>
      <w:marRight w:val="0"/>
      <w:marTop w:val="0"/>
      <w:marBottom w:val="0"/>
      <w:divBdr>
        <w:top w:val="none" w:sz="0" w:space="0" w:color="auto"/>
        <w:left w:val="none" w:sz="0" w:space="0" w:color="auto"/>
        <w:bottom w:val="none" w:sz="0" w:space="0" w:color="auto"/>
        <w:right w:val="none" w:sz="0" w:space="0" w:color="auto"/>
      </w:divBdr>
    </w:div>
    <w:div w:id="1657219198">
      <w:bodyDiv w:val="1"/>
      <w:marLeft w:val="0"/>
      <w:marRight w:val="0"/>
      <w:marTop w:val="0"/>
      <w:marBottom w:val="0"/>
      <w:divBdr>
        <w:top w:val="none" w:sz="0" w:space="0" w:color="auto"/>
        <w:left w:val="none" w:sz="0" w:space="0" w:color="auto"/>
        <w:bottom w:val="none" w:sz="0" w:space="0" w:color="auto"/>
        <w:right w:val="none" w:sz="0" w:space="0" w:color="auto"/>
      </w:divBdr>
    </w:div>
    <w:div w:id="1662927167">
      <w:bodyDiv w:val="1"/>
      <w:marLeft w:val="0"/>
      <w:marRight w:val="0"/>
      <w:marTop w:val="0"/>
      <w:marBottom w:val="0"/>
      <w:divBdr>
        <w:top w:val="none" w:sz="0" w:space="0" w:color="auto"/>
        <w:left w:val="none" w:sz="0" w:space="0" w:color="auto"/>
        <w:bottom w:val="none" w:sz="0" w:space="0" w:color="auto"/>
        <w:right w:val="none" w:sz="0" w:space="0" w:color="auto"/>
      </w:divBdr>
    </w:div>
    <w:div w:id="1793480717">
      <w:bodyDiv w:val="1"/>
      <w:marLeft w:val="0"/>
      <w:marRight w:val="0"/>
      <w:marTop w:val="0"/>
      <w:marBottom w:val="0"/>
      <w:divBdr>
        <w:top w:val="none" w:sz="0" w:space="0" w:color="auto"/>
        <w:left w:val="none" w:sz="0" w:space="0" w:color="auto"/>
        <w:bottom w:val="none" w:sz="0" w:space="0" w:color="auto"/>
        <w:right w:val="none" w:sz="0" w:space="0" w:color="auto"/>
      </w:divBdr>
    </w:div>
    <w:div w:id="1866671129">
      <w:bodyDiv w:val="1"/>
      <w:marLeft w:val="0"/>
      <w:marRight w:val="0"/>
      <w:marTop w:val="0"/>
      <w:marBottom w:val="0"/>
      <w:divBdr>
        <w:top w:val="none" w:sz="0" w:space="0" w:color="auto"/>
        <w:left w:val="none" w:sz="0" w:space="0" w:color="auto"/>
        <w:bottom w:val="none" w:sz="0" w:space="0" w:color="auto"/>
        <w:right w:val="none" w:sz="0" w:space="0" w:color="auto"/>
      </w:divBdr>
    </w:div>
    <w:div w:id="2024431256">
      <w:bodyDiv w:val="1"/>
      <w:marLeft w:val="0"/>
      <w:marRight w:val="0"/>
      <w:marTop w:val="0"/>
      <w:marBottom w:val="0"/>
      <w:divBdr>
        <w:top w:val="none" w:sz="0" w:space="0" w:color="auto"/>
        <w:left w:val="none" w:sz="0" w:space="0" w:color="auto"/>
        <w:bottom w:val="none" w:sz="0" w:space="0" w:color="auto"/>
        <w:right w:val="none" w:sz="0" w:space="0" w:color="auto"/>
      </w:divBdr>
    </w:div>
    <w:div w:id="2027175600">
      <w:bodyDiv w:val="1"/>
      <w:marLeft w:val="0"/>
      <w:marRight w:val="0"/>
      <w:marTop w:val="0"/>
      <w:marBottom w:val="0"/>
      <w:divBdr>
        <w:top w:val="none" w:sz="0" w:space="0" w:color="auto"/>
        <w:left w:val="none" w:sz="0" w:space="0" w:color="auto"/>
        <w:bottom w:val="none" w:sz="0" w:space="0" w:color="auto"/>
        <w:right w:val="none" w:sz="0" w:space="0" w:color="auto"/>
      </w:divBdr>
    </w:div>
    <w:div w:id="2080403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3</Pages>
  <Words>186</Words>
  <Characters>1063</Characters>
  <Application>Microsoft Office Word</Application>
  <DocSecurity>0</DocSecurity>
  <Lines>8</Lines>
  <Paragraphs>2</Paragraphs>
  <ScaleCrop>false</ScaleCrop>
  <Company>Microsoft</Company>
  <LinksUpToDate>false</LinksUpToDate>
  <CharactersWithSpaces>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XHNSH-JAL</dc:creator>
  <cp:lastModifiedBy>耿娜</cp:lastModifiedBy>
  <cp:revision>26</cp:revision>
  <cp:lastPrinted>2025-02-25T01:07:00Z</cp:lastPrinted>
  <dcterms:created xsi:type="dcterms:W3CDTF">2022-11-03T07:53:00Z</dcterms:created>
  <dcterms:modified xsi:type="dcterms:W3CDTF">2026-04-30T03:02:00Z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y fmtid="{D5CDD505-2E9C-101B-9397-08002B2CF9AE}" pid="3" name="ICV">
    <vt:lpwstr>C2479C5A9C21492CB0F2E75406167D95</vt:lpwstr>
  </property>
</Properties>
</file>