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hd w:val="clear" w:color="auto" w:fill="FFFFFF"/>
        <w:spacing w:beforeAutospacing="0" w:afterAutospacing="0" w:line="560"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江苏泰兴农村商业银行股份有限公司</w:t>
      </w:r>
    </w:p>
    <w:p>
      <w:pPr>
        <w:pStyle w:val="2"/>
        <w:widowControl/>
        <w:shd w:val="clear" w:color="auto" w:fill="FFFFFF"/>
        <w:spacing w:beforeAutospacing="0" w:afterAutospacing="0" w:line="560" w:lineRule="exact"/>
        <w:jc w:val="center"/>
        <w:rPr>
          <w:rFonts w:hint="default" w:ascii="Times New Roman" w:hAnsi="Times New Roman" w:eastAsia="方正小标宋_GBK"/>
          <w:sz w:val="44"/>
          <w:szCs w:val="44"/>
        </w:rPr>
      </w:pPr>
      <w:r>
        <w:rPr>
          <w:rFonts w:hint="default" w:ascii="Times New Roman" w:hAnsi="Times New Roman" w:eastAsia="方正小标宋_GBK"/>
          <w:sz w:val="44"/>
          <w:szCs w:val="44"/>
        </w:rPr>
        <w:t>2025年度第三支柱信息披露报告</w:t>
      </w:r>
    </w:p>
    <w:p>
      <w:pPr>
        <w:pStyle w:val="5"/>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根据国家金融监督管理总局发布的《商业银行资本管理办法》（国家金融监督管理总局令2023年第4号）附件22《商业银行信息披露内容和要求》的规定，本行为非国内系统重要性银行，划分标准适用于二档商业银行，应向投资者和社会公众披露本行资本充足率相关信息。本报告披露的报表经本行高级管理层确认。</w:t>
      </w:r>
    </w:p>
    <w:p>
      <w:pPr>
        <w:pStyle w:val="5"/>
        <w:widowControl/>
        <w:spacing w:beforeAutospacing="0" w:afterAutospacing="0" w:line="560" w:lineRule="exact"/>
        <w:ind w:firstLine="640" w:firstLineChars="200"/>
        <w:jc w:val="both"/>
        <w:rPr>
          <w:rFonts w:ascii="Times New Roman" w:hAnsi="Times New Roman" w:eastAsia="仿宋_GB2312"/>
          <w:sz w:val="32"/>
          <w:szCs w:val="32"/>
        </w:rPr>
      </w:pPr>
      <w:r>
        <w:rPr>
          <w:rFonts w:ascii="Times New Roman" w:hAnsi="Times New Roman" w:eastAsia="仿宋_GB2312"/>
          <w:sz w:val="32"/>
          <w:szCs w:val="32"/>
        </w:rPr>
        <w:t>本季度本行需披露的报表为KM1监管并表关键审慎监管指标，具体如下:</w:t>
      </w:r>
    </w:p>
    <w:p>
      <w:pPr>
        <w:snapToGrid w:val="0"/>
        <w:spacing w:line="560" w:lineRule="exact"/>
        <w:outlineLvl w:val="1"/>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KM1：监管并表关键审慎监管指标</w:t>
      </w:r>
    </w:p>
    <w:p>
      <w:pPr>
        <w:snapToGrid w:val="0"/>
        <w:spacing w:line="560" w:lineRule="exact"/>
        <w:jc w:val="right"/>
        <w:outlineLvl w:val="1"/>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单位：人民币万元，%</w:t>
      </w:r>
    </w:p>
    <w:tbl>
      <w:tblPr>
        <w:tblStyle w:val="11"/>
        <w:tblW w:w="8647" w:type="dxa"/>
        <w:tblInd w:w="108" w:type="dxa"/>
        <w:tblLayout w:type="fixed"/>
        <w:tblCellMar>
          <w:top w:w="0" w:type="dxa"/>
          <w:left w:w="108" w:type="dxa"/>
          <w:bottom w:w="0" w:type="dxa"/>
          <w:right w:w="108" w:type="dxa"/>
        </w:tblCellMar>
      </w:tblPr>
      <w:tblGrid>
        <w:gridCol w:w="517"/>
        <w:gridCol w:w="2318"/>
        <w:gridCol w:w="1560"/>
        <w:gridCol w:w="1417"/>
        <w:gridCol w:w="1418"/>
        <w:gridCol w:w="1417"/>
      </w:tblGrid>
      <w:tr>
        <w:tblPrEx>
          <w:tblLayout w:type="fixed"/>
          <w:tblCellMar>
            <w:top w:w="0" w:type="dxa"/>
            <w:left w:w="108" w:type="dxa"/>
            <w:bottom w:w="0" w:type="dxa"/>
            <w:right w:w="108" w:type="dxa"/>
          </w:tblCellMar>
        </w:tblPrEx>
        <w:trPr>
          <w:trHeight w:val="360" w:hRule="atLeast"/>
        </w:trPr>
        <w:tc>
          <w:tcPr>
            <w:tcW w:w="2835" w:type="dxa"/>
            <w:gridSpan w:val="2"/>
            <w:tcBorders>
              <w:top w:val="single" w:color="000000" w:sz="8" w:space="0"/>
              <w:left w:val="single" w:color="000000" w:sz="8" w:space="0"/>
              <w:bottom w:val="nil"/>
              <w:right w:val="single" w:color="000000" w:sz="8" w:space="0"/>
            </w:tcBorders>
            <w:shd w:val="clear" w:color="auto" w:fill="auto"/>
          </w:tcPr>
          <w:p>
            <w:pPr>
              <w:rPr>
                <w:rFonts w:ascii="Times New Roman" w:hAnsi="Times New Roman" w:eastAsia="仿宋_GB2312" w:cs="Times New Roman"/>
                <w:color w:val="000000"/>
                <w:sz w:val="24"/>
              </w:rPr>
            </w:pPr>
          </w:p>
        </w:tc>
        <w:tc>
          <w:tcPr>
            <w:tcW w:w="1560"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a</w:t>
            </w:r>
          </w:p>
        </w:tc>
        <w:tc>
          <w:tcPr>
            <w:tcW w:w="1417"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b</w:t>
            </w:r>
          </w:p>
        </w:tc>
        <w:tc>
          <w:tcPr>
            <w:tcW w:w="1418" w:type="dxa"/>
            <w:tcBorders>
              <w:top w:val="single" w:color="000000" w:sz="8" w:space="0"/>
              <w:left w:val="nil"/>
              <w:bottom w:val="single" w:color="000000" w:sz="8" w:space="0"/>
              <w:right w:val="single" w:color="000000" w:sz="8" w:space="0"/>
            </w:tcBorders>
            <w:shd w:val="clear" w:color="auto" w:fill="auto"/>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c</w:t>
            </w:r>
          </w:p>
        </w:tc>
        <w:tc>
          <w:tcPr>
            <w:tcW w:w="1417" w:type="dxa"/>
            <w:tcBorders>
              <w:top w:val="single" w:color="000000" w:sz="8" w:space="0"/>
              <w:left w:val="nil"/>
              <w:bottom w:val="single" w:color="000000" w:sz="8" w:space="0"/>
              <w:right w:val="single" w:color="000000" w:sz="8" w:space="0"/>
            </w:tcBorders>
            <w:shd w:val="clear" w:color="auto" w:fill="auto"/>
            <w:vAlign w:val="center"/>
          </w:tcPr>
          <w:p>
            <w:pPr>
              <w:ind w:left="-153" w:leftChars="-73"/>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d</w:t>
            </w:r>
          </w:p>
        </w:tc>
      </w:tr>
      <w:tr>
        <w:tblPrEx>
          <w:tblLayout w:type="fixed"/>
          <w:tblCellMar>
            <w:top w:w="0" w:type="dxa"/>
            <w:left w:w="108" w:type="dxa"/>
            <w:bottom w:w="0" w:type="dxa"/>
            <w:right w:w="108" w:type="dxa"/>
          </w:tblCellMar>
        </w:tblPrEx>
        <w:trPr>
          <w:trHeight w:val="360" w:hRule="atLeast"/>
        </w:trPr>
        <w:tc>
          <w:tcPr>
            <w:tcW w:w="2835" w:type="dxa"/>
            <w:gridSpan w:val="2"/>
            <w:tcBorders>
              <w:top w:val="single" w:color="000000" w:sz="8" w:space="0"/>
              <w:left w:val="single" w:color="000000" w:sz="8" w:space="0"/>
              <w:bottom w:val="single" w:color="auto" w:sz="4" w:space="0"/>
              <w:right w:val="single" w:color="000000" w:sz="8" w:space="0"/>
            </w:tcBorders>
            <w:shd w:val="clear" w:color="auto" w:fill="auto"/>
          </w:tcPr>
          <w:p>
            <w:pPr>
              <w:rPr>
                <w:rFonts w:ascii="Times New Roman" w:hAnsi="Times New Roman" w:eastAsia="仿宋_GB2312" w:cs="Times New Roman"/>
                <w:color w:val="000000"/>
                <w:sz w:val="24"/>
              </w:rPr>
            </w:pPr>
          </w:p>
        </w:tc>
        <w:tc>
          <w:tcPr>
            <w:tcW w:w="1560" w:type="dxa"/>
            <w:tcBorders>
              <w:top w:val="single" w:color="000000" w:sz="8" w:space="0"/>
              <w:left w:val="nil"/>
              <w:bottom w:val="single" w:color="auto" w:sz="4" w:space="0"/>
              <w:right w:val="single" w:color="000000" w:sz="8" w:space="0"/>
            </w:tcBorders>
            <w:shd w:val="clear" w:color="auto" w:fill="auto"/>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2025年12月</w:t>
            </w:r>
          </w:p>
        </w:tc>
        <w:tc>
          <w:tcPr>
            <w:tcW w:w="1417" w:type="dxa"/>
            <w:tcBorders>
              <w:top w:val="single" w:color="000000" w:sz="8" w:space="0"/>
              <w:left w:val="nil"/>
              <w:bottom w:val="single" w:color="auto" w:sz="4" w:space="0"/>
              <w:right w:val="single" w:color="000000" w:sz="8" w:space="0"/>
            </w:tcBorders>
            <w:shd w:val="clear" w:color="auto" w:fill="auto"/>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2025年9月</w:t>
            </w:r>
          </w:p>
        </w:tc>
        <w:tc>
          <w:tcPr>
            <w:tcW w:w="1418" w:type="dxa"/>
            <w:tcBorders>
              <w:top w:val="single" w:color="000000" w:sz="8" w:space="0"/>
              <w:left w:val="nil"/>
              <w:bottom w:val="single" w:color="auto" w:sz="4" w:space="0"/>
              <w:right w:val="single" w:color="000000" w:sz="8" w:space="0"/>
            </w:tcBorders>
            <w:shd w:val="clear" w:color="auto" w:fill="auto"/>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2025年6月</w:t>
            </w:r>
          </w:p>
        </w:tc>
        <w:tc>
          <w:tcPr>
            <w:tcW w:w="1417" w:type="dxa"/>
            <w:tcBorders>
              <w:top w:val="single" w:color="000000" w:sz="8" w:space="0"/>
              <w:left w:val="nil"/>
              <w:bottom w:val="single" w:color="auto" w:sz="4" w:space="0"/>
              <w:right w:val="single" w:color="000000" w:sz="8" w:space="0"/>
            </w:tcBorders>
            <w:shd w:val="clear" w:color="auto" w:fill="auto"/>
            <w:vAlign w:val="center"/>
          </w:tcPr>
          <w:p>
            <w:pPr>
              <w:jc w:val="center"/>
              <w:rPr>
                <w:rFonts w:ascii="Times New Roman" w:hAnsi="Times New Roman" w:eastAsia="仿宋_GB2312" w:cs="Times New Roman"/>
                <w:color w:val="000000"/>
                <w:sz w:val="24"/>
              </w:rPr>
            </w:pPr>
            <w:r>
              <w:rPr>
                <w:rFonts w:ascii="Times New Roman" w:hAnsi="Times New Roman" w:eastAsia="仿宋_GB2312" w:cs="Times New Roman"/>
                <w:color w:val="000000"/>
                <w:sz w:val="24"/>
              </w:rPr>
              <w:t>2025年3月</w:t>
            </w:r>
          </w:p>
        </w:tc>
      </w:tr>
      <w:tr>
        <w:tblPrEx>
          <w:tblLayout w:type="fixed"/>
          <w:tblCellMar>
            <w:top w:w="0" w:type="dxa"/>
            <w:left w:w="108" w:type="dxa"/>
            <w:bottom w:w="0" w:type="dxa"/>
            <w:right w:w="108" w:type="dxa"/>
          </w:tblCellMar>
        </w:tblPrEx>
        <w:trPr>
          <w:trHeight w:val="315" w:hRule="atLeast"/>
        </w:trPr>
        <w:tc>
          <w:tcPr>
            <w:tcW w:w="5812" w:type="dxa"/>
            <w:gridSpan w:val="4"/>
            <w:tcBorders>
              <w:top w:val="single" w:color="auto" w:sz="4" w:space="0"/>
              <w:left w:val="single" w:color="000000" w:sz="8" w:space="0"/>
              <w:bottom w:val="single" w:color="000000" w:sz="8" w:space="0"/>
              <w:right w:val="single" w:color="000000" w:sz="8" w:space="0"/>
            </w:tcBorders>
            <w:shd w:val="clear" w:color="auto" w:fill="D9D9D9"/>
          </w:tcPr>
          <w:p>
            <w:pPr>
              <w:widowControl/>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可用资本（数额）</w:t>
            </w:r>
          </w:p>
        </w:tc>
        <w:tc>
          <w:tcPr>
            <w:tcW w:w="1418" w:type="dxa"/>
            <w:tcBorders>
              <w:top w:val="single" w:color="auto" w:sz="4" w:space="0"/>
              <w:left w:val="nil"/>
              <w:bottom w:val="single" w:color="000000" w:sz="8" w:space="0"/>
              <w:right w:val="single" w:color="000000" w:sz="8" w:space="0"/>
            </w:tcBorders>
            <w:shd w:val="clear" w:color="auto" w:fill="D9D9D9"/>
          </w:tcPr>
          <w:p>
            <w:pPr>
              <w:widowControl/>
              <w:jc w:val="left"/>
              <w:rPr>
                <w:rFonts w:ascii="Times New Roman" w:hAnsi="Times New Roman" w:eastAsia="宋体" w:cs="Times New Roman"/>
                <w:color w:val="000000"/>
                <w:kern w:val="0"/>
                <w:szCs w:val="21"/>
              </w:rPr>
            </w:pPr>
          </w:p>
        </w:tc>
        <w:tc>
          <w:tcPr>
            <w:tcW w:w="1417" w:type="dxa"/>
            <w:tcBorders>
              <w:top w:val="single" w:color="auto" w:sz="4" w:space="0"/>
              <w:left w:val="nil"/>
              <w:bottom w:val="single" w:color="000000" w:sz="8" w:space="0"/>
              <w:right w:val="single" w:color="000000" w:sz="8" w:space="0"/>
            </w:tcBorders>
            <w:shd w:val="clear" w:color="auto" w:fill="D9D9D9"/>
          </w:tcPr>
          <w:p>
            <w:pPr>
              <w:widowControl/>
              <w:jc w:val="left"/>
              <w:rPr>
                <w:rFonts w:ascii="Times New Roman" w:hAnsi="Times New Roman" w:eastAsia="宋体" w:cs="Times New Roman"/>
                <w:color w:val="000000"/>
                <w:kern w:val="0"/>
                <w:szCs w:val="21"/>
              </w:rPr>
            </w:pP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核心一级资本净额</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411556.61</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419939.67</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434368.25</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428723.53</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一级资本净额</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411556.61</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419939.67</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434368.25</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428723.53</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资本净额</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478266.56</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487283.39</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502025.22</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496140.59</w:t>
            </w:r>
          </w:p>
        </w:tc>
      </w:tr>
      <w:tr>
        <w:tblPrEx>
          <w:tblLayout w:type="fixed"/>
          <w:tblCellMar>
            <w:top w:w="0" w:type="dxa"/>
            <w:left w:w="108" w:type="dxa"/>
            <w:bottom w:w="0" w:type="dxa"/>
            <w:right w:w="108" w:type="dxa"/>
          </w:tblCellMar>
        </w:tblPrEx>
        <w:trPr>
          <w:trHeight w:val="315" w:hRule="atLeast"/>
        </w:trPr>
        <w:tc>
          <w:tcPr>
            <w:tcW w:w="8647" w:type="dxa"/>
            <w:gridSpan w:val="6"/>
            <w:tcBorders>
              <w:top w:val="nil"/>
              <w:left w:val="single" w:color="000000" w:sz="8" w:space="0"/>
              <w:bottom w:val="single" w:color="000000" w:sz="8" w:space="0"/>
              <w:right w:val="single" w:color="000000" w:sz="8" w:space="0"/>
            </w:tcBorders>
            <w:shd w:val="clear" w:color="auto" w:fill="D9D9D9"/>
          </w:tcPr>
          <w:p>
            <w:pPr>
              <w:widowControl/>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风险加权资产（数额）</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风险加权资产</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3209048.76</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3238531.71</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3263724.01</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3256754.63</w:t>
            </w:r>
          </w:p>
        </w:tc>
      </w:tr>
      <w:tr>
        <w:tblPrEx>
          <w:tblLayout w:type="fixed"/>
          <w:tblCellMar>
            <w:top w:w="0" w:type="dxa"/>
            <w:left w:w="108" w:type="dxa"/>
            <w:bottom w:w="0" w:type="dxa"/>
            <w:right w:w="108" w:type="dxa"/>
          </w:tblCellMar>
        </w:tblPrEx>
        <w:trPr>
          <w:trHeight w:val="315" w:hRule="atLeast"/>
        </w:trPr>
        <w:tc>
          <w:tcPr>
            <w:tcW w:w="8647" w:type="dxa"/>
            <w:gridSpan w:val="6"/>
            <w:tcBorders>
              <w:top w:val="nil"/>
              <w:left w:val="single" w:color="000000" w:sz="8" w:space="0"/>
              <w:bottom w:val="single" w:color="000000" w:sz="8" w:space="0"/>
              <w:right w:val="single" w:color="000000" w:sz="8" w:space="0"/>
            </w:tcBorders>
            <w:shd w:val="clear" w:color="auto" w:fill="D9D9D9"/>
          </w:tcPr>
          <w:p>
            <w:pPr>
              <w:widowControl/>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资本充足率</w:t>
            </w:r>
          </w:p>
        </w:tc>
      </w:tr>
      <w:tr>
        <w:tblPrEx>
          <w:tblLayout w:type="fixed"/>
          <w:tblCellMar>
            <w:top w:w="0" w:type="dxa"/>
            <w:left w:w="108" w:type="dxa"/>
            <w:bottom w:w="0" w:type="dxa"/>
            <w:right w:w="108" w:type="dxa"/>
          </w:tblCellMar>
        </w:tblPrEx>
        <w:trPr>
          <w:trHeight w:val="58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核心一级资本充足率（%）</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12.82</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12.97</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13.31</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13.16</w:t>
            </w:r>
          </w:p>
        </w:tc>
      </w:tr>
      <w:tr>
        <w:tblPrEx>
          <w:tblLayout w:type="fixed"/>
          <w:tblCellMar>
            <w:top w:w="0" w:type="dxa"/>
            <w:left w:w="108" w:type="dxa"/>
            <w:bottom w:w="0" w:type="dxa"/>
            <w:right w:w="108" w:type="dxa"/>
          </w:tblCellMar>
        </w:tblPrEx>
        <w:trPr>
          <w:trHeight w:val="58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一级资本充足率（%）</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12.82</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12.97</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13.31</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13.16</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资本充足率（%）</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14.9</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15.05</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15.38</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15.23</w:t>
            </w:r>
          </w:p>
        </w:tc>
      </w:tr>
      <w:tr>
        <w:tblPrEx>
          <w:tblLayout w:type="fixed"/>
          <w:tblCellMar>
            <w:top w:w="0" w:type="dxa"/>
            <w:left w:w="108" w:type="dxa"/>
            <w:bottom w:w="0" w:type="dxa"/>
            <w:right w:w="108" w:type="dxa"/>
          </w:tblCellMar>
        </w:tblPrEx>
        <w:trPr>
          <w:trHeight w:val="315" w:hRule="atLeast"/>
        </w:trPr>
        <w:tc>
          <w:tcPr>
            <w:tcW w:w="5812" w:type="dxa"/>
            <w:gridSpan w:val="4"/>
            <w:tcBorders>
              <w:top w:val="nil"/>
              <w:left w:val="single" w:color="000000" w:sz="8" w:space="0"/>
              <w:bottom w:val="single" w:color="000000" w:sz="8" w:space="0"/>
              <w:right w:val="single" w:color="000000" w:sz="8" w:space="0"/>
            </w:tcBorders>
            <w:shd w:val="clear" w:color="auto" w:fill="D9D9D9"/>
          </w:tcPr>
          <w:p>
            <w:pPr>
              <w:widowControl/>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其他各级资本要求</w:t>
            </w:r>
          </w:p>
        </w:tc>
        <w:tc>
          <w:tcPr>
            <w:tcW w:w="1418" w:type="dxa"/>
            <w:tcBorders>
              <w:top w:val="nil"/>
              <w:left w:val="nil"/>
              <w:bottom w:val="single" w:color="000000" w:sz="8" w:space="0"/>
              <w:right w:val="single" w:color="000000" w:sz="8" w:space="0"/>
            </w:tcBorders>
            <w:shd w:val="clear" w:color="auto" w:fill="D9D9D9"/>
          </w:tcPr>
          <w:p>
            <w:pPr>
              <w:widowControl/>
              <w:jc w:val="left"/>
              <w:rPr>
                <w:rFonts w:ascii="Times New Roman" w:hAnsi="Times New Roman" w:eastAsia="宋体" w:cs="Times New Roman"/>
                <w:color w:val="000000"/>
                <w:kern w:val="0"/>
                <w:szCs w:val="21"/>
              </w:rPr>
            </w:pPr>
          </w:p>
        </w:tc>
        <w:tc>
          <w:tcPr>
            <w:tcW w:w="1417" w:type="dxa"/>
            <w:tcBorders>
              <w:top w:val="nil"/>
              <w:left w:val="nil"/>
              <w:bottom w:val="single" w:color="000000" w:sz="8" w:space="0"/>
              <w:right w:val="single" w:color="000000" w:sz="8" w:space="0"/>
            </w:tcBorders>
            <w:shd w:val="clear" w:color="auto" w:fill="D9D9D9"/>
          </w:tcPr>
          <w:p>
            <w:pPr>
              <w:widowControl/>
              <w:jc w:val="left"/>
              <w:rPr>
                <w:rFonts w:ascii="Times New Roman" w:hAnsi="Times New Roman" w:eastAsia="宋体" w:cs="Times New Roman"/>
                <w:color w:val="000000"/>
                <w:kern w:val="0"/>
                <w:szCs w:val="21"/>
              </w:rPr>
            </w:pP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8</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储备资本要求（%）</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9</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逆周期资本要求（%）</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0</w:t>
            </w:r>
          </w:p>
        </w:tc>
      </w:tr>
      <w:tr>
        <w:tblPrEx>
          <w:tblLayout w:type="fixed"/>
          <w:tblCellMar>
            <w:top w:w="0" w:type="dxa"/>
            <w:left w:w="108" w:type="dxa"/>
            <w:bottom w:w="0" w:type="dxa"/>
            <w:right w:w="108" w:type="dxa"/>
          </w:tblCellMar>
        </w:tblPrEx>
        <w:trPr>
          <w:trHeight w:val="980"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全球系统重要性银行或国内系统重要性银行附加资本要求（%）</w:t>
            </w:r>
          </w:p>
        </w:tc>
        <w:tc>
          <w:tcPr>
            <w:tcW w:w="1560" w:type="dxa"/>
            <w:tcBorders>
              <w:top w:val="nil"/>
              <w:left w:val="nil"/>
              <w:bottom w:val="single" w:color="000000" w:sz="8" w:space="0"/>
              <w:right w:val="single" w:color="000000" w:sz="8" w:space="0"/>
            </w:tcBorders>
            <w:shd w:val="clear" w:color="auto" w:fill="BEBEBE"/>
            <w:vAlign w:val="center"/>
          </w:tcPr>
          <w:p>
            <w:pPr>
              <w:widowControl/>
              <w:jc w:val="left"/>
              <w:rPr>
                <w:rFonts w:ascii="Times New Roman" w:hAnsi="Times New Roman" w:eastAsia="宋体" w:cs="Times New Roman"/>
                <w:color w:val="000000"/>
                <w:kern w:val="0"/>
                <w:szCs w:val="21"/>
              </w:rPr>
            </w:pPr>
          </w:p>
        </w:tc>
        <w:tc>
          <w:tcPr>
            <w:tcW w:w="1417" w:type="dxa"/>
            <w:tcBorders>
              <w:top w:val="nil"/>
              <w:left w:val="nil"/>
              <w:bottom w:val="single" w:color="000000" w:sz="8" w:space="0"/>
              <w:right w:val="single" w:color="000000" w:sz="8" w:space="0"/>
            </w:tcBorders>
            <w:shd w:val="clear" w:color="auto" w:fill="BEBEBE"/>
            <w:vAlign w:val="center"/>
          </w:tcPr>
          <w:p>
            <w:pPr>
              <w:widowControl/>
              <w:jc w:val="left"/>
              <w:rPr>
                <w:rFonts w:ascii="Times New Roman" w:hAnsi="Times New Roman" w:eastAsia="宋体" w:cs="Times New Roman"/>
                <w:color w:val="000000"/>
                <w:kern w:val="0"/>
                <w:szCs w:val="21"/>
              </w:rPr>
            </w:pPr>
          </w:p>
        </w:tc>
        <w:tc>
          <w:tcPr>
            <w:tcW w:w="1418" w:type="dxa"/>
            <w:tcBorders>
              <w:top w:val="nil"/>
              <w:left w:val="nil"/>
              <w:bottom w:val="single" w:color="000000" w:sz="8" w:space="0"/>
              <w:right w:val="single" w:color="000000" w:sz="8" w:space="0"/>
            </w:tcBorders>
            <w:shd w:val="clear" w:color="auto" w:fill="BEBEBE"/>
            <w:vAlign w:val="center"/>
          </w:tcPr>
          <w:p>
            <w:pPr>
              <w:widowControl/>
              <w:jc w:val="left"/>
              <w:rPr>
                <w:rFonts w:ascii="Times New Roman" w:hAnsi="Times New Roman" w:eastAsia="宋体" w:cs="Times New Roman"/>
                <w:color w:val="000000"/>
                <w:kern w:val="0"/>
                <w:szCs w:val="21"/>
              </w:rPr>
            </w:pPr>
          </w:p>
        </w:tc>
        <w:tc>
          <w:tcPr>
            <w:tcW w:w="1417" w:type="dxa"/>
            <w:tcBorders>
              <w:top w:val="nil"/>
              <w:left w:val="nil"/>
              <w:bottom w:val="single" w:color="000000" w:sz="8" w:space="0"/>
              <w:right w:val="single" w:color="000000" w:sz="8" w:space="0"/>
            </w:tcBorders>
            <w:shd w:val="clear" w:color="auto" w:fill="BEBEBE"/>
            <w:vAlign w:val="center"/>
          </w:tcPr>
          <w:p>
            <w:pPr>
              <w:widowControl/>
              <w:jc w:val="left"/>
              <w:rPr>
                <w:rFonts w:ascii="Times New Roman" w:hAnsi="Times New Roman" w:eastAsia="宋体" w:cs="Times New Roman"/>
                <w:color w:val="000000"/>
                <w:kern w:val="0"/>
                <w:szCs w:val="21"/>
              </w:rPr>
            </w:pPr>
          </w:p>
        </w:tc>
      </w:tr>
      <w:tr>
        <w:tblPrEx>
          <w:tblLayout w:type="fixed"/>
          <w:tblCellMar>
            <w:top w:w="0" w:type="dxa"/>
            <w:left w:w="108" w:type="dxa"/>
            <w:bottom w:w="0" w:type="dxa"/>
            <w:right w:w="108" w:type="dxa"/>
          </w:tblCellMar>
        </w:tblPrEx>
        <w:trPr>
          <w:trHeight w:val="58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其他各级资本要求（%）（8+9+10）</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2.5</w:t>
            </w:r>
          </w:p>
        </w:tc>
      </w:tr>
      <w:tr>
        <w:tblPrEx>
          <w:tblLayout w:type="fixed"/>
          <w:tblCellMar>
            <w:top w:w="0" w:type="dxa"/>
            <w:left w:w="108" w:type="dxa"/>
            <w:bottom w:w="0" w:type="dxa"/>
            <w:right w:w="108" w:type="dxa"/>
          </w:tblCellMar>
        </w:tblPrEx>
        <w:trPr>
          <w:trHeight w:val="115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12</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满足最低资本要求后的可用核心一级资本净额占风险加权资产的比例（%）</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6.82</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6.97</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7.31</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7.16</w:t>
            </w:r>
          </w:p>
        </w:tc>
      </w:tr>
      <w:tr>
        <w:tblPrEx>
          <w:tblLayout w:type="fixed"/>
          <w:tblCellMar>
            <w:top w:w="0" w:type="dxa"/>
            <w:left w:w="108" w:type="dxa"/>
            <w:bottom w:w="0" w:type="dxa"/>
            <w:right w:w="108" w:type="dxa"/>
          </w:tblCellMar>
        </w:tblPrEx>
        <w:trPr>
          <w:trHeight w:val="315" w:hRule="atLeast"/>
        </w:trPr>
        <w:tc>
          <w:tcPr>
            <w:tcW w:w="8647" w:type="dxa"/>
            <w:gridSpan w:val="6"/>
            <w:tcBorders>
              <w:top w:val="nil"/>
              <w:left w:val="single" w:color="000000" w:sz="8" w:space="0"/>
              <w:bottom w:val="single" w:color="000000" w:sz="8" w:space="0"/>
              <w:right w:val="single" w:color="000000" w:sz="8" w:space="0"/>
            </w:tcBorders>
            <w:shd w:val="clear" w:color="auto" w:fill="D9D9D9"/>
          </w:tcPr>
          <w:p>
            <w:pPr>
              <w:widowControl/>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杠杆率</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13</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调整后表内外资产余额</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5825756.19</w:t>
            </w:r>
            <w:bookmarkStart w:id="0" w:name="_GoBack"/>
            <w:bookmarkEnd w:id="0"/>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5825916.37</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5797812.87</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5818066.44</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杠杆率（%）</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7.06</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7.21</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7.49</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7.37</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14a</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杠杆率a（%）</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7.06</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7.21</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7.49</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7.37</w:t>
            </w:r>
          </w:p>
        </w:tc>
      </w:tr>
      <w:tr>
        <w:tblPrEx>
          <w:tblLayout w:type="fixed"/>
          <w:tblCellMar>
            <w:top w:w="0" w:type="dxa"/>
            <w:left w:w="108" w:type="dxa"/>
            <w:bottom w:w="0" w:type="dxa"/>
            <w:right w:w="108" w:type="dxa"/>
          </w:tblCellMar>
        </w:tblPrEx>
        <w:trPr>
          <w:trHeight w:val="315" w:hRule="atLeast"/>
        </w:trPr>
        <w:tc>
          <w:tcPr>
            <w:tcW w:w="8647" w:type="dxa"/>
            <w:gridSpan w:val="6"/>
            <w:tcBorders>
              <w:top w:val="nil"/>
              <w:left w:val="single" w:color="000000" w:sz="8" w:space="0"/>
              <w:bottom w:val="single" w:color="000000" w:sz="8" w:space="0"/>
              <w:right w:val="single" w:color="000000" w:sz="8" w:space="0"/>
            </w:tcBorders>
            <w:shd w:val="clear" w:color="auto" w:fill="D9D9D9"/>
          </w:tcPr>
          <w:p>
            <w:pPr>
              <w:widowControl/>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流动性覆盖率</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15</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合格优质流动性资产</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16</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现金净流出量</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17</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流动性覆盖率（%）</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r>
      <w:tr>
        <w:tblPrEx>
          <w:tblLayout w:type="fixed"/>
          <w:tblCellMar>
            <w:top w:w="0" w:type="dxa"/>
            <w:left w:w="108" w:type="dxa"/>
            <w:bottom w:w="0" w:type="dxa"/>
            <w:right w:w="108" w:type="dxa"/>
          </w:tblCellMar>
        </w:tblPrEx>
        <w:trPr>
          <w:trHeight w:val="315" w:hRule="atLeast"/>
        </w:trPr>
        <w:tc>
          <w:tcPr>
            <w:tcW w:w="8647" w:type="dxa"/>
            <w:gridSpan w:val="6"/>
            <w:tcBorders>
              <w:top w:val="nil"/>
              <w:left w:val="single" w:color="000000" w:sz="8" w:space="0"/>
              <w:bottom w:val="single" w:color="000000" w:sz="8" w:space="0"/>
              <w:right w:val="single" w:color="000000" w:sz="8" w:space="0"/>
            </w:tcBorders>
            <w:shd w:val="clear" w:color="auto" w:fill="D9D9D9"/>
          </w:tcPr>
          <w:p>
            <w:pPr>
              <w:widowControl/>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净稳定资金比例</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18</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可用稳定资金合计</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19</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所需稳定资金合计</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20</w:t>
            </w:r>
          </w:p>
        </w:tc>
        <w:tc>
          <w:tcPr>
            <w:tcW w:w="2318" w:type="dxa"/>
            <w:tcBorders>
              <w:top w:val="nil"/>
              <w:left w:val="nil"/>
              <w:bottom w:val="single" w:color="000000" w:sz="8" w:space="0"/>
              <w:right w:val="single" w:color="000000" w:sz="8" w:space="0"/>
            </w:tcBorders>
            <w:shd w:val="clear" w:color="auto" w:fill="auto"/>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净稳定资金比例（%）</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不适用</w:t>
            </w:r>
          </w:p>
        </w:tc>
      </w:tr>
      <w:tr>
        <w:tblPrEx>
          <w:tblLayout w:type="fixed"/>
          <w:tblCellMar>
            <w:top w:w="0" w:type="dxa"/>
            <w:left w:w="108" w:type="dxa"/>
            <w:bottom w:w="0" w:type="dxa"/>
            <w:right w:w="108" w:type="dxa"/>
          </w:tblCellMar>
        </w:tblPrEx>
        <w:trPr>
          <w:trHeight w:val="315" w:hRule="atLeast"/>
        </w:trPr>
        <w:tc>
          <w:tcPr>
            <w:tcW w:w="8647" w:type="dxa"/>
            <w:gridSpan w:val="6"/>
            <w:tcBorders>
              <w:top w:val="nil"/>
              <w:left w:val="single" w:color="000000" w:sz="8" w:space="0"/>
              <w:bottom w:val="single" w:color="000000" w:sz="8" w:space="0"/>
              <w:right w:val="single" w:color="000000" w:sz="8" w:space="0"/>
            </w:tcBorders>
            <w:shd w:val="clear" w:color="auto" w:fill="D8D8D8"/>
          </w:tcPr>
          <w:p>
            <w:pPr>
              <w:widowControl/>
              <w:rPr>
                <w:rFonts w:ascii="Times New Roman" w:hAnsi="Times New Roman" w:eastAsia="仿宋_GB2312" w:cs="Times New Roman"/>
                <w:b/>
                <w:bCs/>
                <w:color w:val="000000"/>
                <w:kern w:val="0"/>
                <w:sz w:val="24"/>
              </w:rPr>
            </w:pPr>
            <w:r>
              <w:rPr>
                <w:rFonts w:ascii="Times New Roman" w:hAnsi="Times New Roman" w:eastAsia="仿宋_GB2312" w:cs="Times New Roman"/>
                <w:b/>
                <w:bCs/>
                <w:color w:val="000000"/>
                <w:kern w:val="0"/>
                <w:sz w:val="24"/>
              </w:rPr>
              <w:t>流动性比例</w:t>
            </w:r>
          </w:p>
        </w:tc>
      </w:tr>
      <w:tr>
        <w:tblPrEx>
          <w:tblLayout w:type="fixed"/>
          <w:tblCellMar>
            <w:top w:w="0" w:type="dxa"/>
            <w:left w:w="108" w:type="dxa"/>
            <w:bottom w:w="0" w:type="dxa"/>
            <w:right w:w="108" w:type="dxa"/>
          </w:tblCellMar>
        </w:tblPrEx>
        <w:trPr>
          <w:trHeight w:val="315" w:hRule="atLeast"/>
        </w:trPr>
        <w:tc>
          <w:tcPr>
            <w:tcW w:w="517" w:type="dxa"/>
            <w:tcBorders>
              <w:top w:val="nil"/>
              <w:left w:val="single" w:color="000000" w:sz="8" w:space="0"/>
              <w:bottom w:val="single" w:color="000000" w:sz="8" w:space="0"/>
              <w:right w:val="single" w:color="000000" w:sz="8" w:space="0"/>
            </w:tcBorders>
            <w:shd w:val="clear" w:color="auto" w:fill="FFFFFF"/>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21</w:t>
            </w:r>
          </w:p>
        </w:tc>
        <w:tc>
          <w:tcPr>
            <w:tcW w:w="2318" w:type="dxa"/>
            <w:tcBorders>
              <w:top w:val="nil"/>
              <w:left w:val="nil"/>
              <w:bottom w:val="single" w:color="000000" w:sz="8" w:space="0"/>
              <w:right w:val="single" w:color="000000" w:sz="8" w:space="0"/>
            </w:tcBorders>
            <w:shd w:val="clear" w:color="auto" w:fill="FFFFFF"/>
            <w:vAlign w:val="center"/>
          </w:tcPr>
          <w:p>
            <w:pPr>
              <w:widowControl/>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流动性比例（%）</w:t>
            </w:r>
          </w:p>
        </w:tc>
        <w:tc>
          <w:tcPr>
            <w:tcW w:w="1560"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104.14</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110.05</w:t>
            </w:r>
          </w:p>
        </w:tc>
        <w:tc>
          <w:tcPr>
            <w:tcW w:w="1418"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118.36</w:t>
            </w:r>
          </w:p>
        </w:tc>
        <w:tc>
          <w:tcPr>
            <w:tcW w:w="1417" w:type="dxa"/>
            <w:tcBorders>
              <w:top w:val="nil"/>
              <w:left w:val="nil"/>
              <w:bottom w:val="single" w:color="000000" w:sz="8" w:space="0"/>
              <w:right w:val="single" w:color="000000" w:sz="8" w:space="0"/>
            </w:tcBorders>
            <w:shd w:val="clear" w:color="auto" w:fill="auto"/>
            <w:vAlign w:val="center"/>
          </w:tcPr>
          <w:p>
            <w:pPr>
              <w:widowControl/>
              <w:jc w:val="center"/>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108.14</w:t>
            </w:r>
          </w:p>
        </w:tc>
      </w:tr>
    </w:tbl>
    <w:p>
      <w:pPr>
        <w:snapToGrid w:val="0"/>
        <w:spacing w:line="480" w:lineRule="exact"/>
        <w:outlineLvl w:val="1"/>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表格CC1：资本构成</w:t>
      </w:r>
    </w:p>
    <w:p>
      <w:pPr>
        <w:snapToGrid w:val="0"/>
        <w:spacing w:line="480" w:lineRule="exact"/>
        <w:jc w:val="right"/>
        <w:outlineLvl w:val="1"/>
        <w:rPr>
          <w:rFonts w:ascii="Times New Roman" w:hAnsi="Times New Roman" w:eastAsia="仿宋_GB2312" w:cs="Times New Roman"/>
          <w:color w:val="000000" w:themeColor="text1"/>
          <w:sz w:val="32"/>
          <w:szCs w:val="32"/>
        </w:rPr>
      </w:pPr>
      <w:r>
        <w:rPr>
          <w:rFonts w:ascii="Times New Roman" w:hAnsi="Times New Roman" w:eastAsia="仿宋_GB2312" w:cs="Times New Roman"/>
          <w:color w:val="000000" w:themeColor="text1"/>
          <w:sz w:val="32"/>
          <w:szCs w:val="32"/>
        </w:rPr>
        <w:t>单位：人民币万元，%</w:t>
      </w:r>
    </w:p>
    <w:tbl>
      <w:tblPr>
        <w:tblStyle w:val="11"/>
        <w:tblW w:w="8662" w:type="dxa"/>
        <w:tblInd w:w="93" w:type="dxa"/>
        <w:tblLayout w:type="fixed"/>
        <w:tblCellMar>
          <w:top w:w="0" w:type="dxa"/>
          <w:left w:w="108" w:type="dxa"/>
          <w:bottom w:w="0" w:type="dxa"/>
          <w:right w:w="108" w:type="dxa"/>
        </w:tblCellMar>
      </w:tblPr>
      <w:tblGrid>
        <w:gridCol w:w="930"/>
        <w:gridCol w:w="3705"/>
        <w:gridCol w:w="2445"/>
        <w:gridCol w:w="1582"/>
      </w:tblGrid>
      <w:tr>
        <w:tblPrEx>
          <w:tblLayout w:type="fixed"/>
          <w:tblCellMar>
            <w:top w:w="0" w:type="dxa"/>
            <w:left w:w="108" w:type="dxa"/>
            <w:bottom w:w="0" w:type="dxa"/>
            <w:right w:w="108" w:type="dxa"/>
          </w:tblCellMar>
        </w:tblPrEx>
        <w:trPr>
          <w:trHeight w:val="315" w:hRule="atLeast"/>
        </w:trPr>
        <w:tc>
          <w:tcPr>
            <w:tcW w:w="463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a</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b</w:t>
            </w:r>
          </w:p>
        </w:tc>
      </w:tr>
      <w:tr>
        <w:tblPrEx>
          <w:tblLayout w:type="fixed"/>
          <w:tblCellMar>
            <w:top w:w="0" w:type="dxa"/>
            <w:left w:w="108" w:type="dxa"/>
            <w:bottom w:w="0" w:type="dxa"/>
            <w:right w:w="108" w:type="dxa"/>
          </w:tblCellMar>
        </w:tblPrEx>
        <w:trPr>
          <w:trHeight w:val="315" w:hRule="atLeast"/>
        </w:trPr>
        <w:tc>
          <w:tcPr>
            <w:tcW w:w="4635" w:type="dxa"/>
            <w:gridSpan w:val="2"/>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Times New Roman" w:hAnsi="Times New Roman" w:eastAsia="宋体" w:cs="Times New Roman"/>
                <w:color w:val="000000"/>
                <w:kern w:val="0"/>
                <w:sz w:val="24"/>
              </w:rPr>
            </w:pP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数额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代码</w:t>
            </w:r>
          </w:p>
        </w:tc>
      </w:tr>
      <w:tr>
        <w:tblPrEx>
          <w:tblLayout w:type="fixed"/>
          <w:tblCellMar>
            <w:top w:w="0" w:type="dxa"/>
            <w:left w:w="108" w:type="dxa"/>
            <w:bottom w:w="0" w:type="dxa"/>
            <w:right w:w="108" w:type="dxa"/>
          </w:tblCellMar>
        </w:tblPrEx>
        <w:trPr>
          <w:trHeight w:val="315" w:hRule="atLeast"/>
        </w:trPr>
        <w:tc>
          <w:tcPr>
            <w:tcW w:w="86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核心一级资本</w:t>
            </w: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实收资本和资本公积可计入部分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67442.76</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e+g</w:t>
            </w: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留存收益</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388120.12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2a</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盈余公积</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136580.74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h</w:t>
            </w: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2b</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一般风险准备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206403.22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i</w:t>
            </w: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2c</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未分配利润</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45136.16</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j</w:t>
            </w: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累计其他综合收益</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-12361.48</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少数股东资本可计入部分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扣除前的核心一级资本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443201.4</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86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核心一级资本：扣除项</w:t>
            </w:r>
            <w:r>
              <w:rPr>
                <w:rFonts w:ascii="Times New Roman" w:hAnsi="Times New Roman" w:eastAsia="仿宋_GB2312" w:cs="Times New Roman"/>
                <w:color w:val="000000"/>
                <w:kern w:val="0"/>
                <w:sz w:val="24"/>
              </w:rPr>
              <w:t>　</w:t>
            </w: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审慎估值调整</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商誉（扣除递延税负债）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a-c</w:t>
            </w:r>
          </w:p>
        </w:tc>
      </w:tr>
      <w:tr>
        <w:tblPrEx>
          <w:tblLayout w:type="fixed"/>
          <w:tblCellMar>
            <w:top w:w="0" w:type="dxa"/>
            <w:left w:w="108" w:type="dxa"/>
            <w:bottom w:w="0" w:type="dxa"/>
            <w:right w:w="108" w:type="dxa"/>
          </w:tblCellMar>
        </w:tblPrEx>
        <w:trPr>
          <w:trHeight w:val="6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其他无形资产（土地使用权除外）（扣除递延税负债）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508.45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b-d</w:t>
            </w:r>
          </w:p>
        </w:tc>
      </w:tr>
      <w:tr>
        <w:tblPrEx>
          <w:tblLayout w:type="fixed"/>
          <w:tblCellMar>
            <w:top w:w="0" w:type="dxa"/>
            <w:left w:w="108" w:type="dxa"/>
            <w:bottom w:w="0" w:type="dxa"/>
            <w:right w:w="108" w:type="dxa"/>
          </w:tblCellMar>
        </w:tblPrEx>
        <w:trPr>
          <w:trHeight w:val="6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依赖未来盈利的由经营亏损引起的净递延税资产</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6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对未按公允价值计量的项目进行套期形成的现金流储备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损失准备缺口</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资产证券化销售利得</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6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自身信用风险变化导致其负债公允价值变化带来的未实现损益</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6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确定受益类的养老金资产净额（扣除递延税负债）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直接或间接持有本银行的股票</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6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银行间或银行与其他金融机构间通过协议相互持有的核心一级资本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6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对未并表金融机构小额少数资本投资中的核心一级资本中应扣除金额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6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对未并表金融机构大额少数资本投资中的核心一级资本中应扣除金额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6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其他依赖于银行未来盈利的净递延税资产中应扣除金额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31136.33</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145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对未并表金融机构大额少数资本投资中的核心一级资本和其他依赖于银行未来盈利的净递延税资产的未扣除部分超过核心一级资本</w:t>
            </w:r>
            <w:r>
              <w:rPr>
                <w:rFonts w:ascii="Times New Roman" w:hAnsi="Times New Roman" w:eastAsia="宋体" w:cs="Times New Roman"/>
                <w:color w:val="000000"/>
                <w:kern w:val="0"/>
                <w:sz w:val="24"/>
              </w:rPr>
              <w:t>15%</w:t>
            </w:r>
            <w:r>
              <w:rPr>
                <w:rFonts w:ascii="Times New Roman" w:hAnsi="Times New Roman" w:eastAsia="仿宋_GB2312" w:cs="Times New Roman"/>
                <w:color w:val="000000"/>
                <w:kern w:val="0"/>
                <w:sz w:val="24"/>
              </w:rPr>
              <w:t>的应扣除金额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6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w:t>
            </w:r>
            <w:r>
              <w:rPr>
                <w:rFonts w:ascii="Times New Roman" w:hAnsi="Times New Roman" w:eastAsia="仿宋_GB2312" w:cs="Times New Roman"/>
                <w:color w:val="000000"/>
                <w:kern w:val="0"/>
                <w:sz w:val="24"/>
              </w:rPr>
              <w:t>其中：应在对金融机构大额少数资本投资中扣除的金额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6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w:t>
            </w:r>
            <w:r>
              <w:rPr>
                <w:rFonts w:ascii="Times New Roman" w:hAnsi="Times New Roman" w:eastAsia="仿宋_GB2312" w:cs="Times New Roman"/>
                <w:color w:val="000000"/>
                <w:kern w:val="0"/>
                <w:sz w:val="24"/>
              </w:rPr>
              <w:t>其中：应在其他依赖于银行未来盈利的净递延税资产中扣除的金额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6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其他应在核心一级资本中扣除的项目合计</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68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应从其他一级资本和二级资本中扣除的未扣缺口</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核心一级资本扣除项总和</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31644.79</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核心一级资本净额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411556.61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86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其他一级资本</w:t>
            </w: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其他一级资本工具及其溢价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w:t>
            </w:r>
            <w:r>
              <w:rPr>
                <w:rFonts w:ascii="Times New Roman" w:hAnsi="Times New Roman" w:eastAsia="仿宋_GB2312" w:cs="Times New Roman"/>
                <w:color w:val="000000"/>
                <w:kern w:val="0"/>
                <w:sz w:val="24"/>
              </w:rPr>
              <w:t>其中：权益部分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w:t>
            </w:r>
            <w:r>
              <w:rPr>
                <w:rFonts w:ascii="Times New Roman" w:hAnsi="Times New Roman" w:eastAsia="仿宋_GB2312" w:cs="Times New Roman"/>
                <w:color w:val="000000"/>
                <w:kern w:val="0"/>
                <w:sz w:val="24"/>
              </w:rPr>
              <w:t>其中：负债部分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少数股东资本可计入部分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扣除前的其他一级资本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86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其他一级资本</w:t>
            </w:r>
            <w:r>
              <w:rPr>
                <w:rFonts w:ascii="Times New Roman" w:hAnsi="Times New Roman" w:eastAsia="宋体" w:cs="Times New Roman"/>
                <w:b/>
                <w:bCs/>
                <w:color w:val="000000"/>
                <w:kern w:val="0"/>
                <w:sz w:val="24"/>
              </w:rPr>
              <w:t>:</w:t>
            </w:r>
            <w:r>
              <w:rPr>
                <w:rFonts w:ascii="Times New Roman" w:hAnsi="Times New Roman" w:eastAsia="仿宋_GB2312" w:cs="Times New Roman"/>
                <w:b/>
                <w:bCs/>
                <w:color w:val="000000"/>
                <w:kern w:val="0"/>
                <w:sz w:val="24"/>
              </w:rPr>
              <w:t>扣除项</w:t>
            </w: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直接或间接持有的本银行其他一级资本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银行间或银行与其他金融机构间通过协议相互持有的其他一级资本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对未并表金融机构小额少数资本投资中的其他一级资本中应扣除金额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对未并表金融机构大额少数资本投资中的其他一级资本中应扣除金额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其他应在其他一级资本中扣除的项目合计</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应从二级资本中扣除的未扣缺口</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其他一级资本扣除项总和</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其他一级资本净额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一级资本净额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411556.61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86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二级资本</w:t>
            </w: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二级资本工具及其溢价</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29900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少数股东资本可计入部分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超额损失准备可计入部分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36809.95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扣除前的二级资本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66709.95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86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二级资本：扣除项</w:t>
            </w: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直接或间接持有的本银行的二级资本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银行间或银行与其他金融机构间通过协议相互持有的其他一级资本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对未并表金融机构小额少数资本投资中的二级资本中应扣除金额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对未并表金融机构大额少数资本投资中的二级资本</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其他应在二级资本中扣除的项目合计</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二级资本扣除项总和</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二级资本净额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66709.95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总资本净额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478266.56</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风险加权资产</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3209048.76</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86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资本充足率和其他各级资本要求</w:t>
            </w: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核心一级资本充足率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12.82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一级资本充足率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12.82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资本充足率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14.9</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其他各级资本要求（</w:t>
            </w:r>
            <w:r>
              <w:rPr>
                <w:rFonts w:ascii="Times New Roman" w:hAnsi="Times New Roman" w:eastAsia="宋体" w:cs="Times New Roman"/>
                <w:b/>
                <w:bCs/>
                <w:color w:val="000000"/>
                <w:kern w:val="0"/>
                <w:sz w:val="24"/>
              </w:rPr>
              <w:t>%</w:t>
            </w:r>
            <w:r>
              <w:rPr>
                <w:rFonts w:ascii="Times New Roman" w:hAnsi="Times New Roman" w:eastAsia="仿宋_GB2312" w:cs="Times New Roman"/>
                <w:b/>
                <w:bCs/>
                <w:color w:val="000000"/>
                <w:kern w:val="0"/>
                <w:sz w:val="24"/>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w:t>
            </w:r>
            <w:r>
              <w:rPr>
                <w:rFonts w:ascii="Times New Roman" w:hAnsi="Times New Roman" w:eastAsia="仿宋_GB2312" w:cs="Times New Roman"/>
                <w:color w:val="000000"/>
                <w:kern w:val="0"/>
                <w:sz w:val="24"/>
              </w:rPr>
              <w:t>其中：储备资本要求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w:t>
            </w:r>
            <w:r>
              <w:rPr>
                <w:rFonts w:ascii="Times New Roman" w:hAnsi="Times New Roman" w:eastAsia="仿宋_GB2312" w:cs="Times New Roman"/>
                <w:color w:val="000000"/>
                <w:kern w:val="0"/>
                <w:sz w:val="24"/>
              </w:rPr>
              <w:t>其中：逆周期资本要求</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60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60</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w:t>
            </w:r>
            <w:r>
              <w:rPr>
                <w:rFonts w:ascii="Times New Roman" w:hAnsi="Times New Roman" w:eastAsia="仿宋_GB2312" w:cs="Times New Roman"/>
                <w:color w:val="000000"/>
                <w:kern w:val="0"/>
                <w:sz w:val="24"/>
              </w:rPr>
              <w:t>其中：全球系统重要性银行或国内系统重要性银行附加资本要求</w:t>
            </w:r>
          </w:p>
        </w:tc>
        <w:tc>
          <w:tcPr>
            <w:tcW w:w="2445" w:type="dxa"/>
            <w:tcBorders>
              <w:top w:val="single" w:color="000000" w:sz="4" w:space="0"/>
              <w:left w:val="single" w:color="000000" w:sz="4" w:space="0"/>
              <w:bottom w:val="single" w:color="000000" w:sz="4" w:space="0"/>
              <w:right w:val="single" w:color="000000" w:sz="4" w:space="0"/>
            </w:tcBorders>
            <w:shd w:val="clear" w:color="auto" w:fill="808080"/>
            <w:vAlign w:val="center"/>
          </w:tcPr>
          <w:p>
            <w:pPr>
              <w:widowControl/>
              <w:jc w:val="center"/>
              <w:rPr>
                <w:rFonts w:ascii="Times New Roman" w:hAnsi="Times New Roman" w:eastAsia="宋体" w:cs="Times New Roman"/>
                <w:color w:val="000000"/>
                <w:kern w:val="0"/>
                <w:sz w:val="24"/>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88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61</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满足最低资本要求后的可用核心一级资本净额占风险加权资产的比例（</w:t>
            </w:r>
            <w:r>
              <w:rPr>
                <w:rFonts w:ascii="Times New Roman" w:hAnsi="Times New Roman" w:eastAsia="宋体" w:cs="Times New Roman"/>
                <w:b/>
                <w:bCs/>
                <w:color w:val="000000"/>
                <w:kern w:val="0"/>
                <w:sz w:val="24"/>
              </w:rPr>
              <w:t>%</w:t>
            </w:r>
            <w:r>
              <w:rPr>
                <w:rFonts w:ascii="Times New Roman" w:hAnsi="Times New Roman" w:eastAsia="仿宋_GB2312" w:cs="Times New Roman"/>
                <w:b/>
                <w:bCs/>
                <w:color w:val="000000"/>
                <w:kern w:val="0"/>
                <w:sz w:val="24"/>
              </w:rPr>
              <w:t>）</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6.82</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86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我国最低监管资本要求</w:t>
            </w: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62</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核心一级资本充足率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63</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一级资本充足率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64</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资本充足率</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86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门槛扣除项中未扣除部分</w:t>
            </w: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65</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对未并表金融机构的小额少数资本投资中未扣除部分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8917.71</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66</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对未并表金融机构的大额少数资本投资中未扣除部分</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8000</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67</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其他依赖于银行未来盈利的净递延税资产（扣除递延税负债）</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44269.29</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315" w:hRule="atLeast"/>
        </w:trPr>
        <w:tc>
          <w:tcPr>
            <w:tcW w:w="866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b/>
                <w:bCs/>
                <w:color w:val="000000"/>
                <w:kern w:val="0"/>
                <w:sz w:val="24"/>
              </w:rPr>
            </w:pPr>
            <w:r>
              <w:rPr>
                <w:rFonts w:ascii="Times New Roman" w:hAnsi="Times New Roman" w:eastAsia="仿宋_GB2312" w:cs="Times New Roman"/>
                <w:b/>
                <w:bCs/>
                <w:color w:val="000000"/>
                <w:kern w:val="0"/>
                <w:sz w:val="24"/>
              </w:rPr>
              <w:t>可计入二级资本的超额损失准备的限额</w:t>
            </w: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68</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权重法下，实际计提的超额损失准备金额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212000.03</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r>
        <w:tblPrEx>
          <w:tblLayout w:type="fixed"/>
          <w:tblCellMar>
            <w:top w:w="0" w:type="dxa"/>
            <w:left w:w="108" w:type="dxa"/>
            <w:bottom w:w="0" w:type="dxa"/>
            <w:right w:w="108" w:type="dxa"/>
          </w:tblCellMar>
        </w:tblPrEx>
        <w:trPr>
          <w:trHeight w:val="570" w:hRule="atLeast"/>
        </w:trPr>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69</w:t>
            </w:r>
          </w:p>
        </w:tc>
        <w:tc>
          <w:tcPr>
            <w:tcW w:w="370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ascii="Times New Roman" w:hAnsi="Times New Roman" w:eastAsia="宋体" w:cs="Times New Roman"/>
                <w:color w:val="000000"/>
                <w:kern w:val="0"/>
                <w:sz w:val="24"/>
              </w:rPr>
            </w:pPr>
            <w:r>
              <w:rPr>
                <w:rFonts w:ascii="Times New Roman" w:hAnsi="Times New Roman" w:eastAsia="仿宋_GB2312" w:cs="Times New Roman"/>
                <w:color w:val="000000"/>
                <w:kern w:val="0"/>
                <w:sz w:val="24"/>
              </w:rPr>
              <w:t>权重法下，可计入二级资本超额损失准备的数额</w:t>
            </w:r>
          </w:p>
        </w:tc>
        <w:tc>
          <w:tcPr>
            <w:tcW w:w="24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36809.95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rPr>
                <w:rFonts w:ascii="Times New Roman" w:hAnsi="Times New Roman" w:eastAsia="宋体" w:cs="Times New Roman"/>
                <w:color w:val="000000"/>
                <w:kern w:val="0"/>
                <w:sz w:val="24"/>
              </w:rPr>
            </w:pPr>
          </w:p>
        </w:tc>
      </w:tr>
    </w:tbl>
    <w:p>
      <w:pPr>
        <w:snapToGrid w:val="0"/>
        <w:spacing w:line="480" w:lineRule="exact"/>
        <w:jc w:val="right"/>
        <w:outlineLvl w:val="1"/>
        <w:rPr>
          <w:rFonts w:ascii="Times New Roman" w:hAnsi="Times New Roman" w:eastAsia="仿宋_GB2312" w:cs="Times New Roman"/>
          <w:color w:val="000000" w:themeColor="text1"/>
          <w:sz w:val="32"/>
          <w:szCs w:val="32"/>
        </w:rPr>
      </w:pPr>
    </w:p>
    <w:p>
      <w:pPr>
        <w:snapToGrid w:val="0"/>
        <w:spacing w:line="480" w:lineRule="exact"/>
        <w:outlineLvl w:val="1"/>
        <w:rPr>
          <w:rFonts w:ascii="Times New Roman" w:hAnsi="Times New Roman" w:eastAsia="仿宋_GB2312" w:cs="Times New Roman"/>
          <w:color w:val="000000" w:themeColor="text1"/>
          <w:sz w:val="30"/>
          <w:szCs w:val="30"/>
        </w:rPr>
      </w:pPr>
    </w:p>
    <w:p>
      <w:pPr>
        <w:pStyle w:val="5"/>
        <w:widowControl/>
        <w:spacing w:beforeAutospacing="0" w:afterAutospacing="0" w:line="560" w:lineRule="exact"/>
        <w:ind w:firstLine="2880" w:firstLineChars="900"/>
        <w:jc w:val="both"/>
        <w:rPr>
          <w:rFonts w:ascii="Times New Roman" w:hAnsi="Times New Roman" w:eastAsia="仿宋_GB2312"/>
          <w:sz w:val="32"/>
          <w:szCs w:val="32"/>
        </w:rPr>
      </w:pPr>
      <w:r>
        <w:rPr>
          <w:rFonts w:ascii="Times New Roman" w:hAnsi="Times New Roman" w:eastAsia="仿宋_GB2312"/>
          <w:sz w:val="32"/>
          <w:szCs w:val="32"/>
        </w:rPr>
        <w:t>江苏泰兴农村商业银行股份有限公司</w:t>
      </w:r>
    </w:p>
    <w:p>
      <w:pPr>
        <w:pStyle w:val="5"/>
        <w:widowControl/>
        <w:spacing w:beforeAutospacing="0" w:afterAutospacing="0" w:line="560" w:lineRule="exact"/>
        <w:ind w:firstLine="4160" w:firstLineChars="1300"/>
        <w:jc w:val="both"/>
        <w:rPr>
          <w:rFonts w:ascii="Times New Roman" w:hAnsi="Times New Roman" w:eastAsia="仿宋_GB2312"/>
          <w:sz w:val="32"/>
          <w:szCs w:val="32"/>
        </w:rPr>
      </w:pPr>
      <w:r>
        <w:rPr>
          <w:rFonts w:ascii="Times New Roman" w:hAnsi="Times New Roman" w:eastAsia="仿宋_GB2312"/>
          <w:sz w:val="32"/>
          <w:szCs w:val="32"/>
        </w:rPr>
        <w:t>2026年</w:t>
      </w:r>
      <w:r>
        <w:rPr>
          <w:rFonts w:hint="eastAsia" w:ascii="Times New Roman" w:hAnsi="Times New Roman" w:eastAsia="仿宋_GB2312"/>
          <w:sz w:val="32"/>
          <w:szCs w:val="32"/>
          <w:lang w:val="en-US" w:eastAsia="zh-CN"/>
        </w:rPr>
        <w:t>3</w:t>
      </w:r>
      <w:r>
        <w:rPr>
          <w:rFonts w:ascii="Times New Roman" w:hAnsi="Times New Roman" w:eastAsia="仿宋_GB2312"/>
          <w:sz w:val="32"/>
          <w:szCs w:val="32"/>
        </w:rPr>
        <w:t>月2</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KGWebUrl" w:val="http://oa2020.tztx/weaver/weaver.file.FileDownloadForNews?uuid=fe6a41ab-bd98-427d-ad77-40949c890e3d&amp;fileid=525347&amp;type=document&amp;isofficeview=0"/>
  </w:docVars>
  <w:rsids>
    <w:rsidRoot w:val="00956B56"/>
    <w:rsid w:val="00007716"/>
    <w:rsid w:val="00011A46"/>
    <w:rsid w:val="00020829"/>
    <w:rsid w:val="00045E0D"/>
    <w:rsid w:val="000609F4"/>
    <w:rsid w:val="000A160A"/>
    <w:rsid w:val="000D4916"/>
    <w:rsid w:val="00140FAE"/>
    <w:rsid w:val="00163A40"/>
    <w:rsid w:val="00176CF2"/>
    <w:rsid w:val="001E484B"/>
    <w:rsid w:val="0020342F"/>
    <w:rsid w:val="0023463C"/>
    <w:rsid w:val="002A0F28"/>
    <w:rsid w:val="002D225E"/>
    <w:rsid w:val="002E2FED"/>
    <w:rsid w:val="0033081B"/>
    <w:rsid w:val="00346404"/>
    <w:rsid w:val="003666A5"/>
    <w:rsid w:val="00383815"/>
    <w:rsid w:val="00384DFA"/>
    <w:rsid w:val="003C2708"/>
    <w:rsid w:val="003C46E6"/>
    <w:rsid w:val="003D4B92"/>
    <w:rsid w:val="003F0F94"/>
    <w:rsid w:val="00404457"/>
    <w:rsid w:val="00451211"/>
    <w:rsid w:val="005058DF"/>
    <w:rsid w:val="0052353C"/>
    <w:rsid w:val="00546EAC"/>
    <w:rsid w:val="00583016"/>
    <w:rsid w:val="0059766A"/>
    <w:rsid w:val="005A2144"/>
    <w:rsid w:val="00604840"/>
    <w:rsid w:val="00614204"/>
    <w:rsid w:val="0064487A"/>
    <w:rsid w:val="00677F9A"/>
    <w:rsid w:val="006B2B3A"/>
    <w:rsid w:val="006F52E1"/>
    <w:rsid w:val="00726E2F"/>
    <w:rsid w:val="007A66A1"/>
    <w:rsid w:val="007D6136"/>
    <w:rsid w:val="007E5A61"/>
    <w:rsid w:val="0082326A"/>
    <w:rsid w:val="00826F6D"/>
    <w:rsid w:val="00902345"/>
    <w:rsid w:val="00956B56"/>
    <w:rsid w:val="00967B65"/>
    <w:rsid w:val="009942C5"/>
    <w:rsid w:val="009A4796"/>
    <w:rsid w:val="009B484A"/>
    <w:rsid w:val="009B50DC"/>
    <w:rsid w:val="009E7D40"/>
    <w:rsid w:val="00A225BA"/>
    <w:rsid w:val="00A401B2"/>
    <w:rsid w:val="00A7083A"/>
    <w:rsid w:val="00AA42F8"/>
    <w:rsid w:val="00AE4B10"/>
    <w:rsid w:val="00B361A7"/>
    <w:rsid w:val="00B65F8E"/>
    <w:rsid w:val="00B7285F"/>
    <w:rsid w:val="00B906FF"/>
    <w:rsid w:val="00C3211C"/>
    <w:rsid w:val="00C37745"/>
    <w:rsid w:val="00C56DE8"/>
    <w:rsid w:val="00CD7B7D"/>
    <w:rsid w:val="00CF3A3C"/>
    <w:rsid w:val="00D84174"/>
    <w:rsid w:val="00D92852"/>
    <w:rsid w:val="00DB35DD"/>
    <w:rsid w:val="00DF7E5A"/>
    <w:rsid w:val="00E657F0"/>
    <w:rsid w:val="00E80AC0"/>
    <w:rsid w:val="00E9373B"/>
    <w:rsid w:val="00E93BCD"/>
    <w:rsid w:val="00ED1710"/>
    <w:rsid w:val="00EF5F9B"/>
    <w:rsid w:val="00F47362"/>
    <w:rsid w:val="00FA0225"/>
    <w:rsid w:val="00FA77D3"/>
    <w:rsid w:val="00FB0422"/>
    <w:rsid w:val="01E60688"/>
    <w:rsid w:val="030A5E0C"/>
    <w:rsid w:val="174B5883"/>
    <w:rsid w:val="17D320BE"/>
    <w:rsid w:val="1A1B5FB9"/>
    <w:rsid w:val="246D64BE"/>
    <w:rsid w:val="25222EA9"/>
    <w:rsid w:val="2A687315"/>
    <w:rsid w:val="2F8E6715"/>
    <w:rsid w:val="36AF42C2"/>
    <w:rsid w:val="3CA5756E"/>
    <w:rsid w:val="3CB57C88"/>
    <w:rsid w:val="40652DD7"/>
    <w:rsid w:val="44D36FD7"/>
    <w:rsid w:val="4B22296B"/>
    <w:rsid w:val="4F342727"/>
    <w:rsid w:val="594C777E"/>
    <w:rsid w:val="5C2A5C3F"/>
    <w:rsid w:val="5E70368B"/>
    <w:rsid w:val="5EB56E8D"/>
    <w:rsid w:val="60802F3A"/>
    <w:rsid w:val="68984963"/>
    <w:rsid w:val="6B6B0FB2"/>
    <w:rsid w:val="6D531233"/>
    <w:rsid w:val="6F5B6E4A"/>
    <w:rsid w:val="6FDB69B8"/>
    <w:rsid w:val="70235C36"/>
    <w:rsid w:val="722768C3"/>
    <w:rsid w:val="73D21981"/>
    <w:rsid w:val="750C1DC3"/>
    <w:rsid w:val="79C416FF"/>
    <w:rsid w:val="7D9D248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6">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20"/>
    <w:qFormat/>
    <w:uiPriority w:val="0"/>
    <w:pPr>
      <w:tabs>
        <w:tab w:val="center" w:pos="4153"/>
        <w:tab w:val="right" w:pos="8306"/>
      </w:tabs>
      <w:snapToGrid w:val="0"/>
      <w:jc w:val="left"/>
    </w:pPr>
    <w:rPr>
      <w:sz w:val="18"/>
      <w:szCs w:val="18"/>
    </w:rPr>
  </w:style>
  <w:style w:type="paragraph" w:styleId="4">
    <w:name w:val="header"/>
    <w:basedOn w:val="1"/>
    <w:link w:val="1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FollowedHyperlink"/>
    <w:basedOn w:val="6"/>
    <w:qFormat/>
    <w:uiPriority w:val="0"/>
    <w:rPr>
      <w:color w:val="800080"/>
      <w:u w:val="none"/>
    </w:rPr>
  </w:style>
  <w:style w:type="character" w:styleId="9">
    <w:name w:val="Emphasis"/>
    <w:basedOn w:val="6"/>
    <w:qFormat/>
    <w:uiPriority w:val="0"/>
  </w:style>
  <w:style w:type="character" w:styleId="10">
    <w:name w:val="Hyperlink"/>
    <w:basedOn w:val="6"/>
    <w:qFormat/>
    <w:uiPriority w:val="0"/>
    <w:rPr>
      <w:color w:val="0000FF"/>
      <w:u w:val="none"/>
    </w:rPr>
  </w:style>
  <w:style w:type="character" w:customStyle="1" w:styleId="12">
    <w:name w:val="first-child1"/>
    <w:basedOn w:val="6"/>
    <w:qFormat/>
    <w:uiPriority w:val="0"/>
  </w:style>
  <w:style w:type="character" w:customStyle="1" w:styleId="13">
    <w:name w:val="first-child2"/>
    <w:basedOn w:val="6"/>
    <w:qFormat/>
    <w:uiPriority w:val="0"/>
    <w:rPr>
      <w:b/>
      <w:color w:val="FF6D00"/>
      <w:sz w:val="38"/>
      <w:szCs w:val="38"/>
    </w:rPr>
  </w:style>
  <w:style w:type="character" w:customStyle="1" w:styleId="14">
    <w:name w:val="last-child"/>
    <w:basedOn w:val="6"/>
    <w:qFormat/>
    <w:uiPriority w:val="0"/>
  </w:style>
  <w:style w:type="character" w:customStyle="1" w:styleId="15">
    <w:name w:val="last-child1"/>
    <w:basedOn w:val="6"/>
    <w:qFormat/>
    <w:uiPriority w:val="0"/>
  </w:style>
  <w:style w:type="character" w:customStyle="1" w:styleId="16">
    <w:name w:val="first-child+span"/>
    <w:basedOn w:val="6"/>
    <w:qFormat/>
    <w:uiPriority w:val="0"/>
    <w:rPr>
      <w:b/>
      <w:sz w:val="20"/>
      <w:szCs w:val="20"/>
    </w:rPr>
  </w:style>
  <w:style w:type="character" w:customStyle="1" w:styleId="17">
    <w:name w:val="font21"/>
    <w:basedOn w:val="6"/>
    <w:uiPriority w:val="0"/>
    <w:rPr>
      <w:rFonts w:hint="eastAsia" w:ascii="微软雅黑" w:hAnsi="微软雅黑" w:eastAsia="微软雅黑" w:cs="微软雅黑"/>
      <w:b/>
      <w:bCs/>
      <w:color w:val="000000"/>
      <w:sz w:val="18"/>
      <w:szCs w:val="18"/>
      <w:u w:val="none"/>
    </w:rPr>
  </w:style>
  <w:style w:type="character" w:customStyle="1" w:styleId="18">
    <w:name w:val="font01"/>
    <w:basedOn w:val="6"/>
    <w:uiPriority w:val="0"/>
    <w:rPr>
      <w:rFonts w:hint="eastAsia" w:ascii="微软雅黑" w:hAnsi="微软雅黑" w:eastAsia="微软雅黑" w:cs="微软雅黑"/>
      <w:color w:val="000000"/>
      <w:sz w:val="18"/>
      <w:szCs w:val="18"/>
      <w:u w:val="none"/>
    </w:rPr>
  </w:style>
  <w:style w:type="character" w:customStyle="1" w:styleId="19">
    <w:name w:val="页眉 Char"/>
    <w:basedOn w:val="6"/>
    <w:link w:val="4"/>
    <w:uiPriority w:val="0"/>
    <w:rPr>
      <w:rFonts w:asciiTheme="minorHAnsi" w:hAnsiTheme="minorHAnsi" w:eastAsiaTheme="minorEastAsia" w:cstheme="minorBidi"/>
      <w:kern w:val="2"/>
      <w:sz w:val="18"/>
      <w:szCs w:val="18"/>
    </w:rPr>
  </w:style>
  <w:style w:type="character" w:customStyle="1" w:styleId="20">
    <w:name w:val="页脚 Char"/>
    <w:basedOn w:val="6"/>
    <w:link w:val="3"/>
    <w:uiPriority w:val="0"/>
    <w:rPr>
      <w:rFonts w:asciiTheme="minorHAnsi" w:hAnsiTheme="minorHAnsi" w:eastAsiaTheme="minorEastAsia" w:cstheme="minorBidi"/>
      <w:kern w:val="2"/>
      <w:sz w:val="18"/>
      <w:szCs w:val="18"/>
    </w:rPr>
  </w:style>
  <w:style w:type="character" w:customStyle="1" w:styleId="21">
    <w:name w:val="font11"/>
    <w:basedOn w:val="6"/>
    <w:qFormat/>
    <w:uiPriority w:val="0"/>
    <w:rPr>
      <w:rFonts w:hint="default" w:ascii="Times New Roman" w:hAnsi="Times New Roman" w:cs="Times New Roman"/>
      <w:color w:val="000000"/>
      <w:sz w:val="28"/>
      <w:szCs w:val="28"/>
      <w:u w:val="none"/>
    </w:rPr>
  </w:style>
  <w:style w:type="character" w:customStyle="1" w:styleId="22">
    <w:name w:val="font31"/>
    <w:basedOn w:val="6"/>
    <w:qFormat/>
    <w:uiPriority w:val="0"/>
    <w:rPr>
      <w:rFonts w:hint="eastAsia" w:ascii="仿宋_GB2312" w:eastAsia="仿宋_GB2312"/>
      <w:color w:val="000000"/>
      <w:sz w:val="28"/>
      <w:szCs w:val="28"/>
      <w:u w:val="none"/>
    </w:rPr>
  </w:style>
  <w:style w:type="character" w:customStyle="1" w:styleId="23">
    <w:name w:val="font41"/>
    <w:basedOn w:val="6"/>
    <w:uiPriority w:val="0"/>
    <w:rPr>
      <w:rFonts w:hint="eastAsia" w:ascii="仿宋_GB2312" w:eastAsia="仿宋_GB2312"/>
      <w:b/>
      <w:bCs/>
      <w:color w:val="000000"/>
      <w:sz w:val="28"/>
      <w:szCs w:val="28"/>
      <w:u w:val="none"/>
    </w:rPr>
  </w:style>
  <w:style w:type="character" w:customStyle="1" w:styleId="24">
    <w:name w:val="font51"/>
    <w:basedOn w:val="6"/>
    <w:uiPriority w:val="0"/>
    <w:rPr>
      <w:rFonts w:hint="default" w:ascii="Times New Roman" w:hAnsi="Times New Roman" w:cs="Times New Roman"/>
      <w:color w:val="000000"/>
      <w:sz w:val="28"/>
      <w:szCs w:val="28"/>
      <w:u w:val="none"/>
    </w:rPr>
  </w:style>
  <w:style w:type="character" w:customStyle="1" w:styleId="25">
    <w:name w:val="font81"/>
    <w:basedOn w:val="6"/>
    <w:uiPriority w:val="0"/>
    <w:rPr>
      <w:rFonts w:hint="eastAsia" w:ascii="仿宋_GB2312" w:eastAsia="仿宋_GB2312"/>
      <w:color w:val="000000"/>
      <w:sz w:val="24"/>
      <w:szCs w:val="24"/>
      <w:u w:val="none"/>
    </w:rPr>
  </w:style>
  <w:style w:type="character" w:customStyle="1" w:styleId="26">
    <w:name w:val="font71"/>
    <w:basedOn w:val="6"/>
    <w:uiPriority w:val="0"/>
    <w:rPr>
      <w:rFonts w:hint="default" w:ascii="Times New Roman" w:hAnsi="Times New Roman" w:cs="Times New Roman"/>
      <w:color w:val="000000"/>
      <w:sz w:val="24"/>
      <w:szCs w:val="24"/>
      <w:u w:val="none"/>
    </w:rPr>
  </w:style>
  <w:style w:type="character" w:customStyle="1" w:styleId="27">
    <w:name w:val="font91"/>
    <w:basedOn w:val="6"/>
    <w:qFormat/>
    <w:uiPriority w:val="0"/>
    <w:rPr>
      <w:rFonts w:hint="eastAsia" w:ascii="仿宋_GB2312" w:eastAsia="仿宋_GB2312"/>
      <w:b/>
      <w:bCs/>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494</Words>
  <Characters>2821</Characters>
  <Lines>23</Lines>
  <Paragraphs>6</Paragraphs>
  <TotalTime>1420</TotalTime>
  <ScaleCrop>false</ScaleCrop>
  <LinksUpToDate>false</LinksUpToDate>
  <CharactersWithSpaces>3309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2022-11-03T07:53:00Z</dcterms:created>
  <dc:creator>XHNSH-JAL</dc:creator>
  <cp:lastModifiedBy>张函</cp:lastModifiedBy>
  <cp:lastPrinted>2026-03-23T02:50:00Z</cp:lastPrinted>
  <dcterms:modified xsi:type="dcterms:W3CDTF">2026-03-23T09:37:17Z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C2479C5A9C21492CB0F2E75406167D95</vt:lpwstr>
  </property>
</Properties>
</file>