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CF73F">
      <w:pPr>
        <w:overflowPunct w:val="0"/>
        <w:topLinePunct/>
        <w:jc w:val="center"/>
        <w:rPr>
          <w:rFonts w:hint="eastAsia" w:ascii="方正小标宋_GBK" w:eastAsia="方正小标宋_GBK"/>
          <w:b/>
          <w:sz w:val="44"/>
          <w:szCs w:val="44"/>
        </w:rPr>
      </w:pPr>
      <w:r>
        <w:rPr>
          <w:rFonts w:hint="eastAsia" w:ascii="方正小标宋_GBK" w:eastAsia="方正小标宋_GBK"/>
          <w:b/>
          <w:sz w:val="44"/>
          <w:szCs w:val="44"/>
        </w:rPr>
        <w:t>江苏泰兴农村商业银行股份有限公司</w:t>
      </w:r>
    </w:p>
    <w:p w14:paraId="7D771FF7">
      <w:pPr>
        <w:overflowPunct w:val="0"/>
        <w:topLinePunct/>
        <w:jc w:val="center"/>
        <w:rPr>
          <w:rFonts w:hint="eastAsia" w:ascii="方正小标宋_GBK" w:eastAsia="方正小标宋_GBK"/>
          <w:b/>
          <w:sz w:val="44"/>
          <w:szCs w:val="44"/>
        </w:rPr>
      </w:pPr>
      <w:r>
        <w:rPr>
          <w:rFonts w:hint="eastAsia" w:ascii="方正小标宋_GBK" w:eastAsia="方正小标宋_GBK"/>
          <w:b/>
          <w:sz w:val="44"/>
          <w:szCs w:val="44"/>
        </w:rPr>
        <w:t>关联交易公告</w:t>
      </w:r>
    </w:p>
    <w:p w14:paraId="565B4447">
      <w:pPr>
        <w:overflowPunct w:val="0"/>
        <w:topLinePunct/>
        <w:jc w:val="center"/>
        <w:rPr>
          <w:rFonts w:hint="eastAsia" w:ascii="仿宋_GB2312" w:eastAsia="仿宋_GB2312"/>
          <w:sz w:val="32"/>
          <w:szCs w:val="32"/>
        </w:rPr>
      </w:pPr>
      <w:r>
        <w:rPr>
          <w:rFonts w:hint="eastAsia" w:ascii="仿宋_GB2312" w:eastAsia="仿宋_GB2312"/>
          <w:color w:val="000000"/>
          <w:sz w:val="32"/>
          <w:szCs w:val="32"/>
          <w:shd w:val="clear" w:color="auto" w:fill="FFFFFF"/>
        </w:rPr>
        <w:t>（2026年第</w:t>
      </w:r>
      <w:r>
        <w:rPr>
          <w:rFonts w:hint="eastAsia" w:ascii="仿宋_GB2312" w:eastAsia="仿宋_GB2312"/>
          <w:color w:val="000000"/>
          <w:sz w:val="32"/>
          <w:szCs w:val="32"/>
          <w:shd w:val="clear" w:color="auto" w:fill="FFFFFF"/>
          <w:lang w:val="en-US" w:eastAsia="zh-CN"/>
        </w:rPr>
        <w:t>6</w:t>
      </w:r>
      <w:r>
        <w:rPr>
          <w:rFonts w:hint="eastAsia" w:ascii="仿宋_GB2312" w:eastAsia="仿宋_GB2312"/>
          <w:color w:val="000000"/>
          <w:sz w:val="32"/>
          <w:szCs w:val="32"/>
          <w:shd w:val="clear" w:color="auto" w:fill="FFFFFF"/>
        </w:rPr>
        <w:t>号）</w:t>
      </w:r>
    </w:p>
    <w:p w14:paraId="0EA91FF0">
      <w:pPr>
        <w:overflowPunct w:val="0"/>
        <w:topLinePunct/>
        <w:ind w:firstLine="684"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根据《银行保险机构关联交易管理办法》规定，2026年</w:t>
      </w:r>
      <w:r>
        <w:rPr>
          <w:rFonts w:hint="eastAsia" w:ascii="仿宋_GB2312" w:eastAsia="仿宋_GB2312"/>
          <w:color w:val="000000"/>
          <w:sz w:val="32"/>
          <w:szCs w:val="32"/>
          <w:shd w:val="clear" w:color="auto" w:fill="FFFFFF"/>
          <w:lang w:val="en-US" w:eastAsia="zh-CN"/>
        </w:rPr>
        <w:t>8</w:t>
      </w:r>
      <w:r>
        <w:rPr>
          <w:rFonts w:hint="eastAsia" w:ascii="仿宋_GB2312" w:eastAsia="仿宋_GB2312"/>
          <w:color w:val="000000"/>
          <w:sz w:val="32"/>
          <w:szCs w:val="32"/>
          <w:shd w:val="clear" w:color="auto" w:fill="FFFFFF"/>
        </w:rPr>
        <w:t>月</w:t>
      </w:r>
      <w:r>
        <w:rPr>
          <w:rFonts w:hint="eastAsia" w:ascii="仿宋_GB2312" w:eastAsia="仿宋_GB2312"/>
          <w:color w:val="000000"/>
          <w:sz w:val="32"/>
          <w:szCs w:val="32"/>
          <w:shd w:val="clear" w:color="auto" w:fill="FFFFFF"/>
          <w:lang w:val="en-US" w:eastAsia="zh-CN"/>
        </w:rPr>
        <w:t>24</w:t>
      </w:r>
      <w:r>
        <w:rPr>
          <w:rFonts w:hint="eastAsia" w:ascii="仿宋_GB2312" w:eastAsia="仿宋_GB2312"/>
          <w:color w:val="000000"/>
          <w:sz w:val="32"/>
          <w:szCs w:val="32"/>
          <w:shd w:val="clear" w:color="auto" w:fill="FFFFFF"/>
        </w:rPr>
        <w:t>日，</w:t>
      </w:r>
      <w:r>
        <w:rPr>
          <w:rFonts w:hint="eastAsia" w:ascii="仿宋_GB2312" w:eastAsia="仿宋_GB2312"/>
          <w:sz w:val="32"/>
          <w:szCs w:val="32"/>
          <w:shd w:val="clear" w:color="auto" w:fill="FFFFFF"/>
        </w:rPr>
        <w:t>本行第五届董事会第</w:t>
      </w:r>
      <w:r>
        <w:rPr>
          <w:rFonts w:hint="eastAsia" w:ascii="仿宋_GB2312" w:eastAsia="仿宋_GB2312"/>
          <w:sz w:val="32"/>
          <w:szCs w:val="32"/>
          <w:shd w:val="clear" w:color="auto" w:fill="FFFFFF"/>
          <w:lang w:eastAsia="zh-CN"/>
        </w:rPr>
        <w:t>三</w:t>
      </w:r>
      <w:r>
        <w:rPr>
          <w:rFonts w:hint="eastAsia" w:ascii="仿宋_GB2312" w:eastAsia="仿宋_GB2312"/>
          <w:sz w:val="32"/>
          <w:szCs w:val="32"/>
          <w:shd w:val="clear" w:color="auto" w:fill="FFFFFF"/>
        </w:rPr>
        <w:t>次会议审</w:t>
      </w:r>
      <w:r>
        <w:rPr>
          <w:rFonts w:hint="eastAsia" w:ascii="仿宋_GB2312" w:eastAsia="仿宋_GB2312"/>
          <w:color w:val="000000"/>
          <w:sz w:val="32"/>
          <w:szCs w:val="32"/>
          <w:shd w:val="clear" w:color="auto" w:fill="FFFFFF"/>
        </w:rPr>
        <w:t>议通过了《关于泰兴市常虹实业有限公司</w:t>
      </w:r>
      <w:r>
        <w:rPr>
          <w:rFonts w:hint="eastAsia" w:ascii="仿宋_GB2312" w:eastAsia="仿宋_GB2312"/>
          <w:color w:val="000000"/>
          <w:sz w:val="32"/>
          <w:szCs w:val="32"/>
          <w:shd w:val="clear" w:color="auto" w:fill="FFFFFF"/>
          <w:lang w:val="en-US" w:eastAsia="zh-CN"/>
        </w:rPr>
        <w:t>44000万元授信事项</w:t>
      </w:r>
      <w:r>
        <w:rPr>
          <w:rFonts w:hint="eastAsia" w:ascii="仿宋_GB2312" w:eastAsia="仿宋_GB2312"/>
          <w:color w:val="000000"/>
          <w:sz w:val="32"/>
          <w:szCs w:val="32"/>
          <w:shd w:val="clear" w:color="auto" w:fill="FFFFFF"/>
        </w:rPr>
        <w:t>的议案》，现予公告。</w:t>
      </w:r>
    </w:p>
    <w:p w14:paraId="1D82E0DF">
      <w:pPr>
        <w:overflowPunct w:val="0"/>
        <w:topLinePunct/>
        <w:ind w:firstLine="684" w:firstLineChars="200"/>
        <w:rPr>
          <w:rFonts w:hint="eastAsia" w:ascii="黑体" w:hAnsi="黑体" w:eastAsia="黑体"/>
          <w:sz w:val="32"/>
          <w:szCs w:val="32"/>
        </w:rPr>
      </w:pPr>
      <w:r>
        <w:rPr>
          <w:rFonts w:hint="eastAsia" w:ascii="黑体" w:hAnsi="黑体" w:eastAsia="黑体"/>
          <w:sz w:val="32"/>
          <w:szCs w:val="32"/>
        </w:rPr>
        <w:t>一、关联交易概述</w:t>
      </w:r>
    </w:p>
    <w:p w14:paraId="5D31893C">
      <w:pPr>
        <w:overflowPunct w:val="0"/>
        <w:topLinePunct/>
        <w:ind w:firstLine="684" w:firstLineChars="200"/>
        <w:rPr>
          <w:rFonts w:hint="eastAsia" w:ascii="黑体" w:hAnsi="黑体" w:eastAsia="黑体"/>
          <w:sz w:val="32"/>
          <w:szCs w:val="32"/>
        </w:rPr>
      </w:pPr>
      <w:r>
        <w:rPr>
          <w:rFonts w:hint="eastAsia" w:ascii="仿宋_GB2312" w:eastAsia="仿宋_GB2312"/>
          <w:color w:val="000000"/>
          <w:sz w:val="32"/>
          <w:szCs w:val="32"/>
          <w:shd w:val="clear" w:color="auto" w:fill="FFFFFF"/>
        </w:rPr>
        <w:t>同意给予泰兴市常虹实业有限公司</w:t>
      </w:r>
      <w:r>
        <w:rPr>
          <w:rFonts w:hint="eastAsia" w:ascii="仿宋_GB2312" w:eastAsia="仿宋_GB2312"/>
          <w:color w:val="000000"/>
          <w:sz w:val="32"/>
          <w:szCs w:val="32"/>
          <w:shd w:val="clear" w:color="auto" w:fill="FFFFFF"/>
          <w:lang w:eastAsia="zh-CN"/>
        </w:rPr>
        <w:t>综合</w:t>
      </w:r>
      <w:r>
        <w:rPr>
          <w:rFonts w:hint="eastAsia" w:ascii="仿宋_GB2312" w:eastAsia="仿宋_GB2312"/>
          <w:color w:val="000000"/>
          <w:sz w:val="32"/>
          <w:szCs w:val="32"/>
          <w:shd w:val="clear" w:color="auto" w:fill="FFFFFF"/>
        </w:rPr>
        <w:t>授信</w:t>
      </w:r>
      <w:r>
        <w:rPr>
          <w:rFonts w:hint="eastAsia" w:ascii="仿宋_GB2312" w:eastAsia="仿宋_GB2312"/>
          <w:color w:val="000000"/>
          <w:sz w:val="32"/>
          <w:szCs w:val="32"/>
          <w:shd w:val="clear" w:color="auto" w:fill="FFFFFF"/>
          <w:lang w:val="en-US" w:eastAsia="zh-CN"/>
        </w:rPr>
        <w:t>44000</w:t>
      </w:r>
      <w:r>
        <w:rPr>
          <w:rFonts w:hint="eastAsia" w:ascii="仿宋_GB2312" w:eastAsia="仿宋_GB2312"/>
          <w:color w:val="000000"/>
          <w:sz w:val="32"/>
          <w:szCs w:val="32"/>
          <w:shd w:val="clear" w:color="auto" w:fill="FFFFFF"/>
        </w:rPr>
        <w:t>万元</w:t>
      </w:r>
      <w:r>
        <w:rPr>
          <w:rFonts w:hint="eastAsia" w:ascii="仿宋_GB2312" w:eastAsia="仿宋_GB2312"/>
          <w:color w:val="000000"/>
          <w:sz w:val="32"/>
          <w:szCs w:val="32"/>
          <w:shd w:val="clear" w:color="auto" w:fill="FFFFFF"/>
          <w:lang w:eastAsia="zh-CN"/>
        </w:rPr>
        <w:t>。</w:t>
      </w:r>
      <w:r>
        <w:rPr>
          <w:rFonts w:hint="eastAsia" w:ascii="仿宋_GB2312" w:eastAsia="仿宋_GB2312"/>
          <w:color w:val="000000"/>
          <w:sz w:val="32"/>
          <w:szCs w:val="32"/>
          <w:shd w:val="clear" w:color="auto" w:fill="FFFFFF"/>
        </w:rPr>
        <w:t>其中</w:t>
      </w:r>
      <w:r>
        <w:rPr>
          <w:rFonts w:hint="eastAsia" w:ascii="仿宋_GB2312" w:eastAsia="仿宋_GB2312"/>
          <w:color w:val="000000"/>
          <w:sz w:val="32"/>
          <w:szCs w:val="32"/>
          <w:shd w:val="clear" w:color="auto" w:fill="FFFFFF"/>
          <w:lang w:eastAsia="zh-CN"/>
        </w:rPr>
        <w:t>，</w:t>
      </w:r>
      <w:r>
        <w:rPr>
          <w:rFonts w:hint="eastAsia" w:ascii="仿宋_GB2312" w:eastAsia="仿宋_GB2312"/>
          <w:color w:val="000000"/>
          <w:sz w:val="32"/>
          <w:szCs w:val="32"/>
          <w:shd w:val="clear" w:color="auto" w:fill="FFFFFF"/>
        </w:rPr>
        <w:t>贷款</w:t>
      </w:r>
      <w:r>
        <w:rPr>
          <w:rFonts w:hint="eastAsia" w:ascii="仿宋_GB2312" w:eastAsia="仿宋_GB2312"/>
          <w:color w:val="000000"/>
          <w:sz w:val="32"/>
          <w:szCs w:val="32"/>
          <w:shd w:val="clear" w:color="auto" w:fill="FFFFFF"/>
          <w:lang w:val="en-US" w:eastAsia="zh-CN"/>
        </w:rPr>
        <w:t>39000</w:t>
      </w:r>
      <w:r>
        <w:rPr>
          <w:rFonts w:hint="eastAsia" w:ascii="仿宋_GB2312" w:eastAsia="仿宋_GB2312"/>
          <w:color w:val="000000"/>
          <w:sz w:val="32"/>
          <w:szCs w:val="32"/>
          <w:shd w:val="clear" w:color="auto" w:fill="FFFFFF"/>
        </w:rPr>
        <w:t>万元</w:t>
      </w:r>
      <w:r>
        <w:rPr>
          <w:rFonts w:hint="eastAsia" w:ascii="仿宋_GB2312" w:eastAsia="仿宋_GB2312"/>
          <w:color w:val="000000"/>
          <w:sz w:val="32"/>
          <w:szCs w:val="32"/>
          <w:shd w:val="clear" w:color="auto" w:fill="FFFFFF"/>
          <w:lang w:eastAsia="zh-CN"/>
        </w:rPr>
        <w:t>、</w:t>
      </w:r>
      <w:r>
        <w:rPr>
          <w:rFonts w:hint="eastAsia" w:ascii="仿宋_GB2312" w:eastAsia="仿宋_GB2312"/>
          <w:color w:val="000000"/>
          <w:sz w:val="32"/>
          <w:szCs w:val="32"/>
          <w:shd w:val="clear" w:color="auto" w:fill="FFFFFF"/>
        </w:rPr>
        <w:t>银行承兑汇票</w:t>
      </w:r>
      <w:r>
        <w:rPr>
          <w:rFonts w:hint="eastAsia" w:ascii="仿宋_GB2312" w:eastAsia="仿宋_GB2312"/>
          <w:color w:val="000000"/>
          <w:sz w:val="32"/>
          <w:szCs w:val="32"/>
          <w:shd w:val="clear" w:color="auto" w:fill="FFFFFF"/>
          <w:lang w:val="en-US" w:eastAsia="zh-CN"/>
        </w:rPr>
        <w:t>5</w:t>
      </w:r>
      <w:r>
        <w:rPr>
          <w:rFonts w:hint="eastAsia" w:ascii="仿宋_GB2312" w:eastAsia="仿宋_GB2312"/>
          <w:color w:val="000000"/>
          <w:sz w:val="32"/>
          <w:szCs w:val="32"/>
          <w:shd w:val="clear" w:color="auto" w:fill="FFFFFF"/>
        </w:rPr>
        <w:t>000万元，授信期</w:t>
      </w:r>
      <w:r>
        <w:rPr>
          <w:rFonts w:hint="eastAsia" w:ascii="仿宋_GB2312" w:eastAsia="仿宋_GB2312"/>
          <w:color w:val="000000"/>
          <w:sz w:val="32"/>
          <w:szCs w:val="32"/>
          <w:shd w:val="clear" w:color="auto" w:fill="FFFFFF"/>
          <w:lang w:eastAsia="zh-CN"/>
        </w:rPr>
        <w:t>限四年</w:t>
      </w:r>
      <w:bookmarkStart w:id="0" w:name="_GoBack"/>
      <w:bookmarkEnd w:id="0"/>
      <w:r>
        <w:rPr>
          <w:rFonts w:hint="eastAsia" w:ascii="仿宋_GB2312" w:eastAsia="仿宋_GB2312"/>
          <w:color w:val="000000"/>
          <w:sz w:val="32"/>
          <w:szCs w:val="32"/>
          <w:shd w:val="clear" w:color="auto" w:fill="FFFFFF"/>
        </w:rPr>
        <w:t>。</w:t>
      </w:r>
    </w:p>
    <w:p w14:paraId="4B69A676">
      <w:pPr>
        <w:overflowPunct w:val="0"/>
        <w:topLinePunct/>
        <w:ind w:firstLine="684" w:firstLineChars="200"/>
        <w:rPr>
          <w:rFonts w:hint="eastAsia" w:ascii="黑体" w:hAnsi="黑体" w:eastAsia="黑体"/>
          <w:sz w:val="32"/>
          <w:szCs w:val="32"/>
        </w:rPr>
      </w:pPr>
      <w:r>
        <w:rPr>
          <w:rFonts w:hint="eastAsia" w:ascii="黑体" w:hAnsi="黑体" w:eastAsia="黑体"/>
          <w:sz w:val="32"/>
          <w:szCs w:val="32"/>
        </w:rPr>
        <w:t>二、关联方基本情况</w:t>
      </w:r>
    </w:p>
    <w:p w14:paraId="55712D4B">
      <w:pPr>
        <w:overflowPunct w:val="0"/>
        <w:topLinePunct/>
        <w:ind w:firstLine="684" w:firstLineChars="200"/>
        <w:rPr>
          <w:rFonts w:hint="eastAsia" w:ascii="仿宋_GB2312" w:eastAsia="仿宋_GB2312"/>
          <w:sz w:val="32"/>
          <w:szCs w:val="32"/>
        </w:rPr>
      </w:pPr>
      <w:r>
        <w:rPr>
          <w:rFonts w:hint="eastAsia" w:ascii="仿宋_GB2312" w:eastAsia="仿宋_GB2312"/>
          <w:sz w:val="32"/>
          <w:szCs w:val="32"/>
        </w:rPr>
        <w:t>泰兴市常虹实业有限公司成立于2013年1月14日，法定代表人戴锐，注册地址</w:t>
      </w:r>
      <w:r>
        <w:rPr>
          <w:rFonts w:hint="eastAsia" w:ascii="仿宋_GB2312" w:eastAsia="仿宋_GB2312"/>
          <w:sz w:val="32"/>
          <w:szCs w:val="32"/>
          <w:lang w:eastAsia="zh-CN"/>
        </w:rPr>
        <w:t>为</w:t>
      </w:r>
      <w:r>
        <w:rPr>
          <w:rFonts w:hint="eastAsia" w:ascii="仿宋_GB2312" w:eastAsia="仿宋_GB2312"/>
          <w:sz w:val="32"/>
          <w:szCs w:val="32"/>
        </w:rPr>
        <w:t>泰兴市虹桥镇虹桥大厦615室，企业类型为有限责任公司（非自然人投资或控股的法人独资），注册资本5000万元</w:t>
      </w:r>
      <w:r>
        <w:rPr>
          <w:rFonts w:hint="eastAsia" w:ascii="仿宋_GB2312" w:eastAsia="仿宋_GB2312"/>
          <w:sz w:val="32"/>
          <w:szCs w:val="32"/>
          <w:lang w:eastAsia="zh-CN"/>
        </w:rPr>
        <w:t>，</w:t>
      </w:r>
      <w:r>
        <w:rPr>
          <w:rFonts w:hint="eastAsia" w:ascii="仿宋_GB2312" w:eastAsia="仿宋_GB2312"/>
          <w:sz w:val="32"/>
          <w:szCs w:val="32"/>
        </w:rPr>
        <w:t>经营范围包括：船舶配件加工、销售；修造船劳务工程分包；船舶及船舶配套产品的技术开发、技术服务、技术咨询、技术培训；货物搬运装卸、一般货物仓储等。</w:t>
      </w:r>
    </w:p>
    <w:p w14:paraId="77364321">
      <w:pPr>
        <w:overflowPunct w:val="0"/>
        <w:topLinePunct/>
        <w:ind w:firstLine="684"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泰兴市常虹实业有限公司为我行主要股东的母公司（江苏平仲科技发展集团有限公司）控制的企业，纳入本行关联方管理。</w:t>
      </w:r>
    </w:p>
    <w:p w14:paraId="3E8A0518">
      <w:pPr>
        <w:overflowPunct w:val="0"/>
        <w:topLinePunct/>
        <w:ind w:firstLine="684" w:firstLineChars="200"/>
        <w:rPr>
          <w:rFonts w:hint="eastAsia" w:ascii="黑体" w:hAnsi="黑体" w:eastAsia="黑体"/>
          <w:sz w:val="32"/>
          <w:szCs w:val="32"/>
        </w:rPr>
      </w:pPr>
      <w:r>
        <w:rPr>
          <w:rFonts w:hint="eastAsia" w:ascii="黑体" w:hAnsi="黑体" w:eastAsia="黑体"/>
          <w:sz w:val="32"/>
          <w:szCs w:val="32"/>
        </w:rPr>
        <w:t>三、关联交易的定价政策</w:t>
      </w:r>
    </w:p>
    <w:p w14:paraId="373E64A2">
      <w:pPr>
        <w:overflowPunct w:val="0"/>
        <w:topLinePunct/>
        <w:ind w:firstLine="684"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本行与以上关联方的交易遵循市场化定价的原则，以不优于对非关联方同类交易的条件进行。</w:t>
      </w:r>
    </w:p>
    <w:p w14:paraId="50A6793D">
      <w:pPr>
        <w:overflowPunct w:val="0"/>
        <w:topLinePunct/>
        <w:ind w:firstLine="684" w:firstLineChars="200"/>
        <w:rPr>
          <w:rFonts w:hint="eastAsia" w:ascii="黑体" w:hAnsi="黑体" w:eastAsia="黑体"/>
          <w:sz w:val="32"/>
          <w:szCs w:val="32"/>
        </w:rPr>
      </w:pPr>
      <w:r>
        <w:rPr>
          <w:rFonts w:hint="eastAsia" w:ascii="黑体" w:hAnsi="黑体" w:eastAsia="黑体"/>
          <w:sz w:val="32"/>
          <w:szCs w:val="32"/>
        </w:rPr>
        <w:t>四、关联交易金额及相应比例</w:t>
      </w:r>
    </w:p>
    <w:p w14:paraId="266A1C58">
      <w:pPr>
        <w:overflowPunct w:val="0"/>
        <w:topLinePunct/>
        <w:ind w:firstLine="684"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截至2026年</w:t>
      </w:r>
      <w:r>
        <w:rPr>
          <w:rFonts w:hint="eastAsia" w:ascii="仿宋_GB2312" w:eastAsia="仿宋_GB2312"/>
          <w:color w:val="000000"/>
          <w:sz w:val="32"/>
          <w:szCs w:val="32"/>
          <w:shd w:val="clear" w:color="auto" w:fill="FFFFFF"/>
          <w:lang w:val="en-US" w:eastAsia="zh-CN"/>
        </w:rPr>
        <w:t>6</w:t>
      </w:r>
      <w:r>
        <w:rPr>
          <w:rFonts w:hint="eastAsia" w:ascii="仿宋_GB2312" w:eastAsia="仿宋_GB2312"/>
          <w:color w:val="000000"/>
          <w:sz w:val="32"/>
          <w:szCs w:val="32"/>
          <w:shd w:val="clear" w:color="auto" w:fill="FFFFFF"/>
        </w:rPr>
        <w:t>月3</w:t>
      </w:r>
      <w:r>
        <w:rPr>
          <w:rFonts w:hint="eastAsia" w:ascii="仿宋_GB2312" w:eastAsia="仿宋_GB2312"/>
          <w:color w:val="000000"/>
          <w:sz w:val="32"/>
          <w:szCs w:val="32"/>
          <w:shd w:val="clear" w:color="auto" w:fill="FFFFFF"/>
          <w:lang w:val="en-US" w:eastAsia="zh-CN"/>
        </w:rPr>
        <w:t>0</w:t>
      </w:r>
      <w:r>
        <w:rPr>
          <w:rFonts w:hint="eastAsia" w:ascii="仿宋_GB2312" w:eastAsia="仿宋_GB2312"/>
          <w:color w:val="000000"/>
          <w:sz w:val="32"/>
          <w:szCs w:val="32"/>
          <w:shd w:val="clear" w:color="auto" w:fill="FFFFFF"/>
        </w:rPr>
        <w:t>日，本行资本净额为人民币</w:t>
      </w:r>
      <w:r>
        <w:rPr>
          <w:rFonts w:hint="eastAsia" w:ascii="仿宋_GB2312" w:eastAsia="仿宋_GB2312"/>
          <w:color w:val="000000"/>
          <w:sz w:val="32"/>
          <w:szCs w:val="32"/>
          <w:shd w:val="clear" w:color="auto" w:fill="FFFFFF"/>
          <w:lang w:val="en-US" w:eastAsia="zh-CN"/>
        </w:rPr>
        <w:t>533206.69</w:t>
      </w:r>
      <w:r>
        <w:rPr>
          <w:rFonts w:hint="eastAsia" w:ascii="仿宋_GB2312" w:eastAsia="仿宋_GB2312"/>
          <w:color w:val="000000"/>
          <w:sz w:val="32"/>
          <w:szCs w:val="32"/>
          <w:shd w:val="clear" w:color="auto" w:fill="FFFFFF"/>
        </w:rPr>
        <w:t>万元，该</w:t>
      </w:r>
      <w:r>
        <w:rPr>
          <w:rFonts w:hint="eastAsia" w:ascii="仿宋_GB2312" w:eastAsia="仿宋_GB2312"/>
          <w:color w:val="000000"/>
          <w:sz w:val="32"/>
          <w:szCs w:val="32"/>
          <w:shd w:val="clear" w:color="auto" w:fill="FFFFFF"/>
          <w:lang w:eastAsia="zh-CN"/>
        </w:rPr>
        <w:t>企业</w:t>
      </w:r>
      <w:r>
        <w:rPr>
          <w:rFonts w:hint="eastAsia" w:ascii="仿宋_GB2312" w:eastAsia="仿宋_GB2312"/>
          <w:color w:val="000000"/>
          <w:sz w:val="32"/>
          <w:szCs w:val="32"/>
          <w:shd w:val="clear" w:color="auto" w:fill="FFFFFF"/>
        </w:rPr>
        <w:t>向本行申请授信</w:t>
      </w:r>
      <w:r>
        <w:rPr>
          <w:rFonts w:hint="eastAsia" w:ascii="仿宋_GB2312" w:eastAsia="仿宋_GB2312"/>
          <w:color w:val="000000"/>
          <w:sz w:val="32"/>
          <w:szCs w:val="32"/>
          <w:shd w:val="clear" w:color="auto" w:fill="FFFFFF"/>
          <w:lang w:val="en-US" w:eastAsia="zh-CN"/>
        </w:rPr>
        <w:t>44000</w:t>
      </w:r>
      <w:r>
        <w:rPr>
          <w:rFonts w:hint="eastAsia" w:ascii="仿宋_GB2312" w:eastAsia="仿宋_GB2312"/>
          <w:color w:val="000000"/>
          <w:sz w:val="32"/>
          <w:szCs w:val="32"/>
          <w:shd w:val="clear" w:color="auto" w:fill="FFFFFF"/>
        </w:rPr>
        <w:t>万元，授信金额占本行资本净额之比为</w:t>
      </w:r>
      <w:r>
        <w:rPr>
          <w:rFonts w:hint="eastAsia" w:ascii="仿宋_GB2312" w:eastAsia="仿宋_GB2312"/>
          <w:color w:val="000000"/>
          <w:sz w:val="32"/>
          <w:szCs w:val="32"/>
          <w:shd w:val="clear" w:color="auto" w:fill="FFFFFF"/>
          <w:lang w:val="en-US" w:eastAsia="zh-CN"/>
        </w:rPr>
        <w:t>8.25</w:t>
      </w:r>
      <w:r>
        <w:rPr>
          <w:rFonts w:hint="eastAsia" w:ascii="仿宋_GB2312" w:eastAsia="仿宋_GB2312"/>
          <w:color w:val="000000"/>
          <w:sz w:val="32"/>
          <w:szCs w:val="32"/>
          <w:shd w:val="clear" w:color="auto" w:fill="FFFFFF"/>
        </w:rPr>
        <w:t>%，符合监管要求。</w:t>
      </w:r>
    </w:p>
    <w:p w14:paraId="07B6E955">
      <w:pPr>
        <w:overflowPunct w:val="0"/>
        <w:topLinePunct/>
        <w:ind w:firstLine="684" w:firstLineChars="200"/>
        <w:rPr>
          <w:rFonts w:hint="eastAsia" w:ascii="黑体" w:hAnsi="黑体" w:eastAsia="黑体"/>
          <w:sz w:val="32"/>
          <w:szCs w:val="32"/>
        </w:rPr>
      </w:pPr>
      <w:r>
        <w:rPr>
          <w:rFonts w:hint="eastAsia" w:ascii="黑体" w:hAnsi="黑体" w:eastAsia="黑体"/>
          <w:sz w:val="32"/>
          <w:szCs w:val="32"/>
          <w:lang w:eastAsia="zh-CN"/>
        </w:rPr>
        <w:t>五</w:t>
      </w:r>
      <w:r>
        <w:rPr>
          <w:rFonts w:hint="eastAsia" w:ascii="黑体" w:hAnsi="黑体" w:eastAsia="黑体"/>
          <w:sz w:val="32"/>
          <w:szCs w:val="32"/>
        </w:rPr>
        <w:t>、关联交易审批程序</w:t>
      </w:r>
    </w:p>
    <w:p w14:paraId="23F49A79">
      <w:pPr>
        <w:overflowPunct w:val="0"/>
        <w:topLinePunct/>
        <w:ind w:firstLine="684"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根据相关监管规定及本行关联交易管理办法，关于</w:t>
      </w:r>
      <w:r>
        <w:rPr>
          <w:rFonts w:hint="eastAsia" w:ascii="仿宋_GB2312" w:eastAsia="仿宋_GB2312"/>
          <w:color w:val="000000"/>
          <w:sz w:val="32"/>
          <w:szCs w:val="32"/>
          <w:shd w:val="clear" w:color="auto" w:fill="FFFFFF"/>
          <w:lang w:eastAsia="zh-CN"/>
        </w:rPr>
        <w:t>与</w:t>
      </w:r>
      <w:r>
        <w:rPr>
          <w:rFonts w:hint="eastAsia" w:ascii="仿宋_GB2312" w:eastAsia="仿宋_GB2312"/>
          <w:color w:val="000000"/>
          <w:sz w:val="32"/>
          <w:szCs w:val="32"/>
          <w:shd w:val="clear" w:color="auto" w:fill="FFFFFF"/>
        </w:rPr>
        <w:t>泰兴市常虹实业有限公司</w:t>
      </w:r>
      <w:r>
        <w:rPr>
          <w:rFonts w:hint="eastAsia" w:ascii="仿宋_GB2312" w:eastAsia="仿宋_GB2312"/>
          <w:color w:val="000000"/>
          <w:sz w:val="32"/>
          <w:szCs w:val="32"/>
          <w:shd w:val="clear" w:color="auto" w:fill="FFFFFF"/>
          <w:lang w:eastAsia="zh-CN"/>
        </w:rPr>
        <w:t>重大关联交易事项</w:t>
      </w:r>
      <w:r>
        <w:rPr>
          <w:rFonts w:hint="eastAsia" w:ascii="仿宋_GB2312" w:eastAsia="仿宋_GB2312"/>
          <w:color w:val="000000"/>
          <w:sz w:val="32"/>
          <w:szCs w:val="32"/>
          <w:shd w:val="clear" w:color="auto" w:fill="FFFFFF"/>
        </w:rPr>
        <w:t>经本行第五届董事会风险管理与关联交易控制委员会第一次会议审查，并提交第五届董事会第</w:t>
      </w:r>
      <w:r>
        <w:rPr>
          <w:rFonts w:hint="eastAsia" w:ascii="仿宋_GB2312" w:eastAsia="仿宋_GB2312"/>
          <w:color w:val="000000"/>
          <w:sz w:val="32"/>
          <w:szCs w:val="32"/>
          <w:shd w:val="clear" w:color="auto" w:fill="FFFFFF"/>
          <w:lang w:eastAsia="zh-CN"/>
        </w:rPr>
        <w:t>三</w:t>
      </w:r>
      <w:r>
        <w:rPr>
          <w:rFonts w:hint="eastAsia" w:ascii="仿宋_GB2312" w:eastAsia="仿宋_GB2312"/>
          <w:color w:val="000000"/>
          <w:sz w:val="32"/>
          <w:szCs w:val="32"/>
          <w:shd w:val="clear" w:color="auto" w:fill="FFFFFF"/>
        </w:rPr>
        <w:t>次会议审议通过。</w:t>
      </w:r>
    </w:p>
    <w:p w14:paraId="33320E43">
      <w:pPr>
        <w:overflowPunct w:val="0"/>
        <w:topLinePunct/>
        <w:ind w:firstLine="684" w:firstLineChars="200"/>
        <w:rPr>
          <w:rFonts w:hint="eastAsia"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、独立董事意见</w:t>
      </w:r>
    </w:p>
    <w:p w14:paraId="480E553D">
      <w:pPr>
        <w:overflowPunct w:val="0"/>
        <w:topLinePunct/>
        <w:ind w:firstLine="684" w:firstLineChars="200"/>
        <w:rPr>
          <w:rFonts w:hint="eastAsia" w:ascii="仿宋_GB2312" w:eastAsia="仿宋_GB2312"/>
          <w:sz w:val="32"/>
          <w:szCs w:val="32"/>
        </w:rPr>
      </w:pPr>
      <w:r>
        <w:rPr>
          <w:rFonts w:hint="eastAsia" w:ascii="仿宋_GB2312" w:eastAsia="仿宋_GB2312"/>
          <w:sz w:val="32"/>
          <w:szCs w:val="32"/>
        </w:rPr>
        <w:t>本行独立董事均发表了独立意见，认为以上关联交易属于本行正常业务，交易方案符合一般商业原则以及监管部门的要求，审批程序符合有关法律法规、监管部门要求，交易公允，没有发现存在损害本行及其他股东合法权益的情形。</w:t>
      </w:r>
    </w:p>
    <w:p w14:paraId="32EAB82F">
      <w:pPr>
        <w:overflowPunct w:val="0"/>
        <w:topLinePunct/>
        <w:ind w:firstLine="684" w:firstLineChars="200"/>
        <w:rPr>
          <w:rFonts w:hint="eastAsia" w:ascii="仿宋_GB2312" w:eastAsia="仿宋_GB2312"/>
          <w:sz w:val="32"/>
          <w:szCs w:val="32"/>
        </w:rPr>
      </w:pPr>
      <w:r>
        <w:rPr>
          <w:rFonts w:hint="eastAsia" w:ascii="仿宋_GB2312" w:eastAsia="仿宋_GB2312"/>
          <w:sz w:val="32"/>
          <w:szCs w:val="32"/>
        </w:rPr>
        <w:t>特此公告。</w:t>
      </w:r>
    </w:p>
    <w:p w14:paraId="00509DD9">
      <w:pPr>
        <w:overflowPunct w:val="0"/>
        <w:topLinePunct/>
        <w:ind w:firstLine="684" w:firstLineChars="200"/>
        <w:rPr>
          <w:rFonts w:hint="eastAsia" w:ascii="仿宋_GB2312" w:eastAsia="仿宋_GB2312"/>
          <w:sz w:val="32"/>
          <w:szCs w:val="32"/>
        </w:rPr>
      </w:pPr>
    </w:p>
    <w:p w14:paraId="7392B7CF">
      <w:pPr>
        <w:overflowPunct w:val="0"/>
        <w:topLinePunct/>
        <w:jc w:val="right"/>
        <w:rPr>
          <w:rFonts w:hint="eastAsia" w:ascii="仿宋_GB2312" w:eastAsia="仿宋_GB2312"/>
          <w:sz w:val="32"/>
          <w:szCs w:val="32"/>
        </w:rPr>
      </w:pPr>
      <w:r>
        <w:rPr>
          <w:rFonts w:hint="eastAsia" w:ascii="仿宋_GB2312" w:eastAsia="仿宋_GB2312"/>
          <w:sz w:val="32"/>
          <w:szCs w:val="32"/>
        </w:rPr>
        <w:t>江苏泰兴农村商业银行股份有限公司</w:t>
      </w:r>
    </w:p>
    <w:p w14:paraId="17BDA321">
      <w:pPr>
        <w:overflowPunct w:val="0"/>
        <w:topLinePunct/>
        <w:ind w:right="684"/>
        <w:jc w:val="center"/>
        <w:rPr>
          <w:rFonts w:hint="eastAsia" w:ascii="仿宋_GB2312" w:eastAsia="仿宋_GB2312"/>
          <w:sz w:val="32"/>
          <w:szCs w:val="32"/>
        </w:rPr>
      </w:pPr>
      <w:r>
        <w:rPr>
          <w:rFonts w:hint="eastAsia" w:ascii="仿宋_GB2312" w:eastAsia="仿宋_GB2312"/>
          <w:sz w:val="32"/>
          <w:szCs w:val="32"/>
        </w:rPr>
        <w:t xml:space="preserve">                      2026年</w:t>
      </w:r>
      <w:r>
        <w:rPr>
          <w:rFonts w:hint="eastAsia" w:ascii="仿宋_GB2312" w:eastAsia="仿宋_GB2312"/>
          <w:sz w:val="32"/>
          <w:szCs w:val="32"/>
          <w:lang w:val="en-US" w:eastAsia="zh-CN"/>
        </w:rPr>
        <w:t>8</w:t>
      </w:r>
      <w:r>
        <w:rPr>
          <w:rFonts w:hint="eastAsia" w:ascii="仿宋_GB2312" w:eastAsia="仿宋_GB2312"/>
          <w:sz w:val="32"/>
          <w:szCs w:val="32"/>
        </w:rPr>
        <w:t>月</w:t>
      </w:r>
      <w:r>
        <w:rPr>
          <w:rFonts w:hint="eastAsia" w:ascii="仿宋_GB2312" w:eastAsia="仿宋_GB2312"/>
          <w:sz w:val="32"/>
          <w:szCs w:val="32"/>
          <w:lang w:val="en-US" w:eastAsia="zh-CN"/>
        </w:rPr>
        <w:t>31</w:t>
      </w:r>
      <w:r>
        <w:rPr>
          <w:rFonts w:hint="eastAsia" w:ascii="仿宋_GB2312" w:eastAsia="仿宋_GB2312"/>
          <w:sz w:val="32"/>
          <w:szCs w:val="32"/>
        </w:rPr>
        <w:t>日</w:t>
      </w:r>
    </w:p>
    <w:sectPr>
      <w:footerReference r:id="rId3" w:type="default"/>
      <w:pgSz w:w="11906" w:h="16838"/>
      <w:pgMar w:top="2098" w:right="1531" w:bottom="1701" w:left="1531" w:header="1191" w:footer="1361" w:gutter="0"/>
      <w:pgNumType w:fmt="numberInDash"/>
      <w:cols w:space="425" w:num="1"/>
      <w:docGrid w:type="linesAndChars" w:linePitch="289" w:charSpace="46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1F93BB-FF75-419E-8BE2-37DA072F7F8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6A622F47-95E5-4296-9385-57EB5A0AC596}"/>
  </w:font>
  <w:font w:name="仿宋_GB2312">
    <w:panose1 w:val="02010609030101010101"/>
    <w:charset w:val="86"/>
    <w:family w:val="modern"/>
    <w:pitch w:val="default"/>
    <w:sig w:usb0="00000001" w:usb1="080E0000" w:usb2="00000000" w:usb3="00000000" w:csb0="00040000" w:csb1="00000000"/>
    <w:embedRegular r:id="rId3" w:fontKey="{77BD73AC-AC14-4AFE-ACCE-86AC9F7ADE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7FD74">
    <w:pPr>
      <w:pStyle w:val="3"/>
      <w:jc w:val="center"/>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2FFB334">
                <w:pPr>
                  <w:pStyle w:val="3"/>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w:t>
                </w:r>
                <w:r>
                  <w:rPr>
                    <w:rFonts w:ascii="Times New Roman" w:hAnsi="Times New Roman" w:cs="Times New Roman"/>
                    <w:sz w:val="28"/>
                    <w:szCs w:val="28"/>
                  </w:rPr>
                  <w:t xml:space="preserve"> 3 -</w:t>
                </w:r>
                <w:r>
                  <w:rPr>
                    <w:rFonts w:ascii="Times New Roman" w:hAnsi="Times New Roman" w:cs="Times New Roman"/>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hideSpellingErrors/>
  <w:doNotTrackMoves/>
  <w:documentProtection w:enforcement="0"/>
  <w:defaultTabStop w:val="420"/>
  <w:drawingGridHorizontalSpacing w:val="233"/>
  <w:drawingGridVerticalSpacing w:val="289"/>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MzA1OTcxOWQ3YTdkOTc0Y2E0Nzg4NDcwNmY5ZDY1ZWYifQ=="/>
  </w:docVars>
  <w:rsids>
    <w:rsidRoot w:val="001243DE"/>
    <w:rsid w:val="00051038"/>
    <w:rsid w:val="00061898"/>
    <w:rsid w:val="000978F0"/>
    <w:rsid w:val="000C6ED3"/>
    <w:rsid w:val="000F4615"/>
    <w:rsid w:val="0012196D"/>
    <w:rsid w:val="001243DE"/>
    <w:rsid w:val="00126EA8"/>
    <w:rsid w:val="0024200E"/>
    <w:rsid w:val="00263074"/>
    <w:rsid w:val="00285460"/>
    <w:rsid w:val="00287F4F"/>
    <w:rsid w:val="002B1A99"/>
    <w:rsid w:val="002B5742"/>
    <w:rsid w:val="002D78E0"/>
    <w:rsid w:val="0033591D"/>
    <w:rsid w:val="003877F1"/>
    <w:rsid w:val="00416BAD"/>
    <w:rsid w:val="00441C3C"/>
    <w:rsid w:val="004868B5"/>
    <w:rsid w:val="0049601A"/>
    <w:rsid w:val="004A06BF"/>
    <w:rsid w:val="004B2AF3"/>
    <w:rsid w:val="004D46F0"/>
    <w:rsid w:val="005464A2"/>
    <w:rsid w:val="005E11D8"/>
    <w:rsid w:val="00812AE2"/>
    <w:rsid w:val="008257F1"/>
    <w:rsid w:val="00837938"/>
    <w:rsid w:val="00887719"/>
    <w:rsid w:val="008E3686"/>
    <w:rsid w:val="009A6AB5"/>
    <w:rsid w:val="009C16A2"/>
    <w:rsid w:val="009C6FC6"/>
    <w:rsid w:val="00A726B1"/>
    <w:rsid w:val="00AC1D6F"/>
    <w:rsid w:val="00AC7E8A"/>
    <w:rsid w:val="00B04088"/>
    <w:rsid w:val="00B45516"/>
    <w:rsid w:val="00B5341E"/>
    <w:rsid w:val="00B842BB"/>
    <w:rsid w:val="00C63A81"/>
    <w:rsid w:val="00CA2C1E"/>
    <w:rsid w:val="00D25105"/>
    <w:rsid w:val="00D31CC9"/>
    <w:rsid w:val="00D537ED"/>
    <w:rsid w:val="00D62592"/>
    <w:rsid w:val="00E56638"/>
    <w:rsid w:val="00E9007C"/>
    <w:rsid w:val="00EA7206"/>
    <w:rsid w:val="00EB7312"/>
    <w:rsid w:val="00F53090"/>
    <w:rsid w:val="00F5791C"/>
    <w:rsid w:val="00F6050B"/>
    <w:rsid w:val="00FB5F52"/>
    <w:rsid w:val="00FC74F1"/>
    <w:rsid w:val="028B18FB"/>
    <w:rsid w:val="02C51AE3"/>
    <w:rsid w:val="02EA4873"/>
    <w:rsid w:val="02F63DE3"/>
    <w:rsid w:val="076B1A40"/>
    <w:rsid w:val="085A14B2"/>
    <w:rsid w:val="0C1D40DC"/>
    <w:rsid w:val="0D545ED9"/>
    <w:rsid w:val="10BD5D5A"/>
    <w:rsid w:val="10C06AD4"/>
    <w:rsid w:val="11BF37BC"/>
    <w:rsid w:val="13AE6955"/>
    <w:rsid w:val="14392841"/>
    <w:rsid w:val="15B6669E"/>
    <w:rsid w:val="187728D0"/>
    <w:rsid w:val="1A603417"/>
    <w:rsid w:val="1ED421ED"/>
    <w:rsid w:val="20E64474"/>
    <w:rsid w:val="21244F9D"/>
    <w:rsid w:val="21254871"/>
    <w:rsid w:val="22546854"/>
    <w:rsid w:val="23805A8A"/>
    <w:rsid w:val="26504F1B"/>
    <w:rsid w:val="267C5F26"/>
    <w:rsid w:val="279A5DC6"/>
    <w:rsid w:val="2AB64F0C"/>
    <w:rsid w:val="2E1E4B22"/>
    <w:rsid w:val="2E6D47E6"/>
    <w:rsid w:val="2EE93382"/>
    <w:rsid w:val="32751498"/>
    <w:rsid w:val="36142393"/>
    <w:rsid w:val="366A124C"/>
    <w:rsid w:val="3A4A1178"/>
    <w:rsid w:val="3BFF5F92"/>
    <w:rsid w:val="3FB33303"/>
    <w:rsid w:val="4022161F"/>
    <w:rsid w:val="41351F77"/>
    <w:rsid w:val="43826BE8"/>
    <w:rsid w:val="46B805C4"/>
    <w:rsid w:val="47921FB6"/>
    <w:rsid w:val="47CE03FF"/>
    <w:rsid w:val="49D11666"/>
    <w:rsid w:val="4B707A59"/>
    <w:rsid w:val="4C1843BE"/>
    <w:rsid w:val="4E33765E"/>
    <w:rsid w:val="4E921944"/>
    <w:rsid w:val="4EA62C85"/>
    <w:rsid w:val="4F2F1E47"/>
    <w:rsid w:val="500C2C61"/>
    <w:rsid w:val="50A56100"/>
    <w:rsid w:val="50DB26D2"/>
    <w:rsid w:val="51647B2E"/>
    <w:rsid w:val="5437087C"/>
    <w:rsid w:val="54E51FFE"/>
    <w:rsid w:val="59E42FE8"/>
    <w:rsid w:val="5B12588A"/>
    <w:rsid w:val="5B327F26"/>
    <w:rsid w:val="5BF85935"/>
    <w:rsid w:val="5CD40436"/>
    <w:rsid w:val="60433DF0"/>
    <w:rsid w:val="61405939"/>
    <w:rsid w:val="635B7642"/>
    <w:rsid w:val="65A40299"/>
    <w:rsid w:val="66062B52"/>
    <w:rsid w:val="66EC372D"/>
    <w:rsid w:val="67106F11"/>
    <w:rsid w:val="67EE4F89"/>
    <w:rsid w:val="68281FD9"/>
    <w:rsid w:val="6A992269"/>
    <w:rsid w:val="6A9D79E1"/>
    <w:rsid w:val="6BCA4F51"/>
    <w:rsid w:val="6FEC5DD2"/>
    <w:rsid w:val="716C63AC"/>
    <w:rsid w:val="72B23ABC"/>
    <w:rsid w:val="738929F6"/>
    <w:rsid w:val="745032E0"/>
    <w:rsid w:val="75430D34"/>
    <w:rsid w:val="76FD33D4"/>
    <w:rsid w:val="787C4769"/>
    <w:rsid w:val="7A8F26CC"/>
    <w:rsid w:val="7D2635E8"/>
    <w:rsid w:val="7F4F53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rFonts w:ascii="Calibri" w:hAnsi="Calibri" w:cs="黑体"/>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Calibri" w:hAnsi="Calibri" w:cs="黑体"/>
      <w:sz w:val="18"/>
      <w:szCs w:val="18"/>
    </w:rPr>
  </w:style>
  <w:style w:type="paragraph" w:styleId="5">
    <w:name w:val="Normal (Web)"/>
    <w:basedOn w:val="1"/>
    <w:unhideWhenUsed/>
    <w:qFormat/>
    <w:uiPriority w:val="99"/>
    <w:pPr>
      <w:widowControl/>
      <w:spacing w:before="150" w:after="150"/>
      <w:ind w:left="150" w:right="150"/>
      <w:jc w:val="left"/>
    </w:pPr>
    <w:rPr>
      <w:rFonts w:ascii="宋体" w:hAnsi="宋体" w:cs="宋体"/>
      <w:kern w:val="0"/>
      <w:sz w:val="24"/>
      <w:szCs w:val="24"/>
    </w:rPr>
  </w:style>
  <w:style w:type="paragraph" w:customStyle="1" w:styleId="8">
    <w:name w:val="列出段落1"/>
    <w:basedOn w:val="1"/>
    <w:unhideWhenUsed/>
    <w:qFormat/>
    <w:uiPriority w:val="34"/>
    <w:pPr>
      <w:ind w:firstLine="420" w:firstLineChars="200"/>
    </w:pPr>
  </w:style>
  <w:style w:type="character" w:customStyle="1" w:styleId="9">
    <w:name w:val="页眉 Char"/>
    <w:link w:val="4"/>
    <w:qFormat/>
    <w:uiPriority w:val="99"/>
    <w:rPr>
      <w:sz w:val="18"/>
      <w:szCs w:val="18"/>
    </w:rPr>
  </w:style>
  <w:style w:type="character" w:customStyle="1" w:styleId="10">
    <w:name w:val="页脚 Char"/>
    <w:link w:val="3"/>
    <w:qFormat/>
    <w:uiPriority w:val="99"/>
    <w:rPr>
      <w:sz w:val="18"/>
      <w:szCs w:val="18"/>
    </w:rPr>
  </w:style>
  <w:style w:type="character" w:customStyle="1" w:styleId="11">
    <w:name w:val="批注框文本 Char"/>
    <w:link w:val="2"/>
    <w:semiHidden/>
    <w:qFormat/>
    <w:uiPriority w:val="99"/>
    <w:rPr>
      <w:rFonts w:ascii="Times New Roman" w:hAnsi="Times New Roman" w:eastAsia="宋体" w:cs="Times New Roman"/>
      <w:kern w:val="2"/>
      <w:sz w:val="18"/>
      <w:szCs w:val="18"/>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759</Words>
  <Characters>822</Characters>
  <Lines>8</Lines>
  <Paragraphs>2</Paragraphs>
  <TotalTime>117</TotalTime>
  <ScaleCrop>false</ScaleCrop>
  <LinksUpToDate>false</LinksUpToDate>
  <CharactersWithSpaces>844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2020-01-23T10:07:00Z</dcterms:created>
  <dc:creator>PC</dc:creator>
  <cp:lastModifiedBy>Q</cp:lastModifiedBy>
  <cp:lastPrinted>2026-09-01T02:03:00Z</cp:lastPrinted>
  <dcterms:modified xsi:type="dcterms:W3CDTF">2026-09-01T02:25:53Z</dcterms:modified>
  <dc:title>关于金龙建设有限公司等14家公司授信及与金龙建设有限公司等5家公司重大关联交易事项的议案</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4F99D6A1E20E41B7B4E6F6852343C378</vt:lpwstr>
  </property>
  <property fmtid="{D5CDD505-2E9C-101B-9397-08002B2CF9AE}" pid="4" name="KSOTemplateDocerSaveRecord">
    <vt:lpwstr>eyJoZGlkIjoiZTQ0ZTJjYTQ2NjE5OGY0NTc0YzQxYmRiODU3NzJlODIiLCJ1c2VySWQiOiIzNjg2NzY3NDEifQ==</vt:lpwstr>
  </property>
</Properties>
</file>