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南银理财珠联璧合鑫逸稳两年70期封闭式公募人民币理财产品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南银理财珠联璧合鑫逸稳两年70期封闭式公募人民币理财产品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Z7003224000078（投资者可依据该编码在中国理财网www.chinawealth.com.cn查询理财产品相关信息）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2024年05月08日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314,392,060.00份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华能贵诚信托有限公司,国投泰康信托有限公司,广东粤财信托有限公司,重庆国际信托股份有限公司,中国对外经济贸易信托有限公司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Y60070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217,533,990.76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Y61070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75,210,026.09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Y62070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26,110,547.55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鑫逸稳两年期封闭式产品，今年三季度产品操作稳健偏中性。三季度债券市场波动放大，资金利率边际走高，利率债、存单、信用债等向下突破后出现一定回调，信用债信用利差、以及各品种利差开始走阔，债市在下至较低位置后迎来阶段性调整，风险也得一定的缓释。三季度产品运作过程中操作边际转向中性，追求收益的同时注重回撤控制，把握债券估值性价比相对较高的窗口期，积极寻找个券配置机会，提升组合静态，组合运作保持了适度的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截至报告期末，本产品Y60070份额净值为1.0140元，Y61070份额净值为1.0144元，Y62070份额净值为1.0148元。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101,620,107.89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31.87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XTDKX202406210022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华能信托·字慧6号集合资金信托计划第1期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67,616,400.00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21.21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60,213,393.62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18.88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XTDKX202406110002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重庆信托·淮安宏信集合资金信托计划（第1期）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48,259,249.44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15.14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XTDKX202406170022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粤财信托瑞兴136号集合资金信托计划第1期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40,241,157.60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12.62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淮安市宏信国有资产投资管理有限公司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重庆信托·淮安宏信集合资金信托计划（第1期）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深圳智领星辰科技有限公司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华能信托·字慧6号集合资金信托计划第1期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江苏扬中港务投资发展有限公司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粤财信托瑞兴136号集合资金信托计划第1期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0101070000000982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南京银行南京分行南银理财鑫逸稳两年70期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产品支付关联方托管费0.00元，支付关联方代销费33,901.91元。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