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264,071,652.00份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76,538,777.80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95,024,117.78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105,235,250.09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截至报告期末，本产品Y60037份额净值为1.0469元，Y61037份额净值为1.0480元，Y62037份额净值为1.0491元。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108,339,776.60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45,331,624.26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42,151,228.56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40,487,378.56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40,058,746.80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产品支付关联方托管费0.00元，支付关联方代销费49,649.22元。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