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南银理财珠联璧合鑫逸稳两年85期封闭式公募人民币理财产品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南银理财珠联璧合鑫逸稳两年85期封闭式公募人民币理财产品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2024年08月21日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98,656,624.00份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67,242,995.84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21,659,719.90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11,664,499.08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截至报告期末，本产品Y60085份额净值为1.0190元，Y61085份额净值为1.0197元，Y62085份额净值为1.0203元。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49,817,748.83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49,071,872.71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1,006,078.96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沛县城市建设投资发展集团有限公司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0101010000001116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产品支付关联方托管费0.00元，支付关联方代销费23,888.03元。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