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Z7003224000051（投资者可依据该编码在中国理财网www.chinawealth.com.cn查询理财产品相关信息）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504,213,397.00份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200,867,137.69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320,225,078.29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2,982,034.49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截至报告期末，本产品Y60063份额净值为1.0387元，Y61063份额净值为1.0397元，Y62063份额净值为1.0408元。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275,500,596.61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138,510,921.54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112,422,408.00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淮安科教产业投资控股有限公司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淮安市清浦城市改造建设投资开发有限公司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0101080000000934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产品支付关联方托管费0.00元，支付关联方代销费89,921.58元。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