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Z7003223000158（投资者可依据该编码在中国理财网www.chinawealth.com.cn查询理财产品相关信息）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258,800,432.00份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西部信托有限公司,上海国际信托有限公司,中信信托有限责任公司,国联基金管理有限公司,百瑞信托有限责任公司,中国对外经济贸易信托有限公司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80,018,358.74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104,743,073.30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92,062,128.26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截至报告期末，本产品Y60036份额净值为1.0679元，Y61036份额净值为1.0695元，Y62036份额净值为1.0712元。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100,731,963.93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72,730,818.83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50,285,446.89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23,439,254.00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上海信托东亭产发信托贷款集合资金信托计划第2期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20,023,288.60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百瑞恒益1570号集合资金信托计划（南瑞1号）第2期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10,014,024.80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百瑞恒益1570号集合资金信托计划（南瑞1号）第2期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盐城市东亭产业发展集团有限公司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上海信托东亭产发信托贷款集合资金信托计划第2期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0101040000000667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产品支付关联方托管费0.00元，支付关联方代销费48,951.29元。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