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442,421,156.00份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121,237,721.95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179,284,385.42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174,059,898.82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截至报告期末，本产品Y60032份额净值为1.0707元，Y61032份额净值为1.0724元，Y62032份额净值为1.0742元。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161,697,814.87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133,173,866.91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100,608,557.25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81,527,147.20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0101030000000615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产品支付关联方托管费0.00元，支付关联方代销费87,689.61元。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