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南银理财珠联璧合鑫逸稳一年170期（长三角绿色金融主题）封闭式公募人民币理财产品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南银理财珠联璧合鑫逸稳一年170期（长三角绿色金融主题）封闭式公募人民币理财产品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Z7003224000109（投资者可依据该编码在中国理财网www.chinawealth.com.cn查询理财产品相关信息）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2024年06月12日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760,739,258.00份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五矿国际信托有限公司,华鑫国际信托有限公司,广东粤财信托有限公司,紫金信托有限责任公司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Y30170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337,521,486.05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Y31170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196,377,736.90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Y32170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194,076,351.28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Y33170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52,595,218.56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截至报告期末，本产品Y30170份额净值为1.0252元，Y31170份额净值为1.0261元，Y32170份额净值为1.0269元，Y33170份额净值为1.0277元。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430,656,353.74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155,455,390.36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94,410,400.00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XTDKX202407100022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83,133,189.27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114809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20鼎通G1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15,087,000.00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0101070000001038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南京银行南京分行南银理财鑫逸稳一年170期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产品投资关联方作为管理人的资产管理产品交易金额155,000,000.00元。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产品支付关联方托管费0.00元，支付关联方代销费76,485.46元。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