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4,515,419,739.37份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万家基金管理有限公司,中粮信托有限责任公司,广发基金管理有限公司,招商基金管理有限公司,紫金信托有限责任公司,景顺长城基金管理有限公司,长江养老保险股份有限公司,交银施罗德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1,501,143,668.81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1.016206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3,007,402,520.78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77,305,100.22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截至报告期末，本产品A32038份额净值为1.016206元，A32046份额净值为1.015313元，A32047份额净值为1.014880元。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655,216,233.38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502,987,500.00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391,981,610.25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389,496,422.33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310,057,891.44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292,810,926.81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009532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广发景明中短债E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250,080,494.93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248,941,911.21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201,839,080.45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156,096,479.17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产品投资关联方作为管理人的资产管理产品交易金额390,000,000.00元。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产品支付关联方托管费440,857.07元，支付关联方代销费179,853.17元。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