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jc w:val="center"/>
        <w:rPr>
          <w:rFonts w:asciiTheme="minorEastAsia" w:hAnsiTheme="minorEastAsia" w:eastAsiaTheme="minorEastAsia"/>
        </w:rPr>
      </w:pPr>
    </w:p>
    <w:p>
      <w:pPr>
        <w:spacing w:before="240" w:after="72" w:line="360" w:lineRule="auto"/>
        <w:jc w:val="center"/>
        <w:rPr>
          <w:rFonts w:asciiTheme="minorEastAsia" w:hAnsiTheme="minorEastAsia" w:eastAsiaTheme="minorEastAsia"/>
        </w:rPr>
      </w:pPr>
    </w:p>
    <w:p>
      <w:pPr>
        <w:spacing w:before="240" w:after="72" w:line="360" w:lineRule="auto"/>
        <w:jc w:val="center"/>
        <w:rPr>
          <w:rFonts w:asciiTheme="minorEastAsia" w:hAnsiTheme="minorEastAsia" w:eastAsiaTheme="minorEastAsia"/>
        </w:rPr>
      </w:pPr>
    </w:p>
    <w:p>
      <w:pPr>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南银理财鼎瑞悦稳（最低持有371天）1号公募人民币理财产品</w:t>
      </w:r>
    </w:p>
    <w:p>
      <w:pPr>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2025年第1季度报告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r>
        <w:rPr>
          <w:rFonts w:ascii="方正黑体简体" w:eastAsia="方正黑体简体"/>
          <w:sz w:val="36"/>
          <w:szCs w:val="36"/>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7"/>
        <w:tblW w:w="8959" w:type="dxa"/>
        <w:jc w:val="center"/>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894"/>
        <w:gridCol w:w="60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产品全称</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南银理财鼎瑞悦稳（最低持有371天）1号公募人民币理财产品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07"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产品登记编码</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Z7003224000200（投资者可依据该编码在中国理财网www.chinawealth.com.cn查询理财产品相关信息）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产品运作方式</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开放式净值型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产品成立日</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2024年09月27日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报告期末产品份额总额</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6,410,228,534.53份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9"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合作机构</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国投泰康信托有限公司,紫金信托有限责任公司,鑫元基金管理有限公司,江苏省国际信托有限责任公司,中国对外经济贸易信托有限公司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产品管理人</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产品托管人</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主要财务指标和产品业绩比较基准</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7"/>
        <w:tblpPr w:leftFromText="180" w:rightFromText="180" w:vertAnchor="text" w:tblpXSpec="center" w:tblpY="1"/>
        <w:tblOverlap w:val="never"/>
        <w:tblW w:w="906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296"/>
        <w:gridCol w:w="2705"/>
        <w:gridCol w:w="2030"/>
        <w:gridCol w:w="20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3" w:hRule="atLeast"/>
          <w:jc w:val="center"/>
        </w:trPr>
        <w:tc>
          <w:tcPr>
            <w:tcW w:w="2296" w:type="dxa"/>
            <w:vMerge w:val="restart"/>
            <w:vAlign w:val="center"/>
          </w:tcPr>
          <w:p>
            <w:pPr>
              <w:spacing w:before="48" w:beforeLines="20" w:after="48" w:afterLines="20" w:line="360" w:lineRule="auto"/>
              <w:jc w:val="center"/>
              <w:rPr>
                <w:rFonts w:ascii="方正仿宋简体" w:eastAsia="方正仿宋简体"/>
                <w:sz w:val="24"/>
                <w:szCs w:val="24"/>
              </w:rPr>
            </w:pPr>
            <w:r>
              <w:rPr>
                <w:rFonts w:hint="eastAsia" w:ascii="方正仿宋简体" w:eastAsia="方正仿宋简体"/>
                <w:sz w:val="24"/>
                <w:szCs w:val="24"/>
              </w:rPr>
              <w:t>内部销售代码</w:t>
            </w:r>
          </w:p>
        </w:tc>
        <w:tc>
          <w:tcPr>
            <w:tcW w:w="6771" w:type="dxa"/>
            <w:gridSpan w:val="3"/>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报告期（2025年01月01日 - 2025年03月31日）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64" w:hRule="atLeast"/>
          <w:jc w:val="center"/>
        </w:trPr>
        <w:tc>
          <w:tcPr>
            <w:tcW w:w="2296" w:type="dxa"/>
            <w:vMerge w:val="continue"/>
            <w:vAlign w:val="center"/>
          </w:tcPr>
          <w:p>
            <w:pPr>
              <w:spacing w:before="48" w:beforeLines="20" w:after="48" w:afterLines="20" w:line="360" w:lineRule="auto"/>
              <w:jc w:val="center"/>
              <w:rPr>
                <w:rFonts w:ascii="方正仿宋简体" w:eastAsia="方正仿宋简体"/>
                <w:sz w:val="24"/>
                <w:szCs w:val="24"/>
              </w:rPr>
            </w:pPr>
          </w:p>
        </w:tc>
        <w:tc>
          <w:tcPr>
            <w:tcW w:w="2705"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030"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036"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57" w:hRule="atLeast"/>
          <w:jc w:val="center"/>
        </w:trPr>
        <w:tc>
          <w:tcPr>
            <w:tcW w:w="2296"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A32041</w:t>
            </w:r>
          </w:p>
        </w:tc>
        <w:tc>
          <w:tcPr>
            <w:tcW w:w="2705"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4,249,575,849.13</w:t>
            </w:r>
          </w:p>
        </w:tc>
        <w:tc>
          <w:tcPr>
            <w:tcW w:w="2030"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1.017885</w:t>
            </w:r>
          </w:p>
        </w:tc>
        <w:tc>
          <w:tcPr>
            <w:tcW w:w="2036"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1.017885</w:t>
            </w:r>
          </w:p>
        </w:tc>
      </w:tr>
      <w:tr>
        <w:trPr>
          <w:trHeight w:val="557" w:hRule="atLeast"/>
          <w:jc w:val="center"/>
        </w:trPr>
        <w:tc>
          <w:tcPr>
            <w:tcW w:w="2296"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A32043</w:t>
            </w:r>
          </w:p>
        </w:tc>
        <w:tc>
          <w:tcPr>
            <w:tcW w:w="2705"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2,273,010,036.96</w:t>
            </w:r>
          </w:p>
        </w:tc>
        <w:tc>
          <w:tcPr>
            <w:tcW w:w="2030"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1.016860</w:t>
            </w:r>
          </w:p>
        </w:tc>
        <w:tc>
          <w:tcPr>
            <w:tcW w:w="2036"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1.016860</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2.2 产品业绩比较基准</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2.2.1本报告期产品业绩比较基准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4485"/>
        <w:gridCol w:w="2095"/>
        <w:gridCol w:w="23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485"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阶段</w:t>
            </w:r>
          </w:p>
        </w:tc>
        <w:tc>
          <w:tcPr>
            <w:tcW w:w="2095"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2322"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业绩比较基准</w:t>
            </w:r>
          </w:p>
        </w:tc>
      </w:tr>
      <w:tr>
        <w:trPr>
          <w:jc w:val="center"/>
        </w:trPr>
        <w:tc>
          <w:tcPr>
            <w:tcW w:w="4485"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2025年01月01日 - 2025年03月31日</w:t>
            </w:r>
          </w:p>
        </w:tc>
        <w:tc>
          <w:tcPr>
            <w:tcW w:w="2095"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A32041</w:t>
            </w:r>
          </w:p>
        </w:tc>
        <w:tc>
          <w:tcPr>
            <w:tcW w:w="2322"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-3.31%</w:t>
            </w:r>
          </w:p>
        </w:tc>
      </w:tr>
      <w:tr>
        <w:trPr>
          <w:jc w:val="center"/>
        </w:trPr>
        <w:tc>
          <w:tcPr>
            <w:tcW w:w="4485"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2025年01月01日 - 2025年03月31日</w:t>
            </w:r>
          </w:p>
        </w:tc>
        <w:tc>
          <w:tcPr>
            <w:tcW w:w="2095"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A32043</w:t>
            </w:r>
          </w:p>
        </w:tc>
        <w:tc>
          <w:tcPr>
            <w:tcW w:w="2322"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-3.31%</w:t>
            </w:r>
          </w:p>
        </w:tc>
      </w:tr>
    </w:tbl>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r>
        <w:rPr>
          <w:rFonts w:hint="eastAsia" w:ascii="方正仿宋简体" w:eastAsia="方正仿宋简体"/>
          <w:b/>
          <w:sz w:val="24"/>
          <w:szCs w:val="24"/>
        </w:rPr>
        <w:tab/>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一季度，从基本面看，经济数据好于预期，呈现政策拉动内需回升的状态，但内生增长动能仍偏弱，经济复苏的可持续性和强度尚待观察，二季度政策脉冲过后可能再度下行。货币政策方面，受经济预期好转影响，稳增长的紧迫性下降，而且近期汇率约束有所减轻，货币政策有一定宽松窗口期。一季度以来，债券市场整体上行，在资金利率高位影响下，短端债券收益率率先上行，后带动长端收益率逐步上行，目前影响债市的主要矛盾是经济基本面分歧和央行流动性调控态度两大方面。当前利率已经基本调整至2024年12月初“适度宽松”前的位置，宽松预期透支逐步修复。</w:t>
        <w:br w:type="textWrapping" w:clear="all"/>
      </w:r>
      <w:r>
        <w:rPr>
          <w:rFonts w:hint="eastAsia" w:ascii="方正仿宋简体" w:eastAsia="方正仿宋简体"/>
          <w:sz w:val="24"/>
          <w:szCs w:val="24"/>
        </w:rPr>
        <w:t>  展望二季度，对债券市场并不悲观，从货币政策方面看，当前经济基本面偏弱的格局并不支持货币政策出现转向，降准降息值得期待，信用债方面，短端品种确定性较高，2-3年期优选流动性较好的中高等级品种，兼顾票息收益及流动性管理。操作方面，坚持稳健运作的投资理念，对于利差保护较足的信用资产积极配置，同时关注交易活跃品种的波段机会，根据对后市的研判灵活摆布资产久期与杠杆水平，获取稳健的投资回报。</w:t>
        <w:br w:type="textWrapping" w:clear="all"/>
      </w:r>
      <w:r>
        <w:rPr>
          <w:rFonts w:hint="eastAsia" w:ascii="方正仿宋简体" w:eastAsia="方正仿宋简体"/>
          <w:sz w:val="24"/>
          <w:szCs w:val="24"/>
        </w:rPr>
        <w:t>  操作方面，本产品坚持稳健配置的管理思路，精选中短久期信用债、银行存款、债券回购为主要配置资产，兼顾收益与流动性。下一阶段，本产品操作上将精选短久期高等级信用债，适当提高市值敞口和久期，为客户提供稳定的有竞争力的收益回报。</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  本产品持仓资产以债券为主，在持仓中维持合理比例高流动性资产，产品流动性状况较好。</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截至报告期末，本产品A32041份额净值为1.017885元，A32043份额净值为1.016860元。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7"/>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97.08%</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94.59%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2.92%</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ZJQTT202311240001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国投泰康信托福佳3号集合资金信托计划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1,397,184,980.77</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21.42</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ZJQTT202207200001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江苏信托鑫盈1号集合资金信托计划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446,444,061.45</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6.84</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ZJQTT202312130001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紫金信托合盛1号集合资金信托计划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295,866,710.70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4.54</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112505077</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25建设银行CD077</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295,802,400.00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4.54</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ZZGJT202005290001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鑫元基金-鑫安利得51号</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260,092,934.44</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3.99</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ZJQTT202301110001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外贸信托-鑫华优享1号证券投资集合资金信托计划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240,790,940.82</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3.69</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ZJQTT202301090001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江苏信托鑫盈3号集合资金信托计划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226,384,096.64</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3.47</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102485221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24黄海金融MTN002</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100,554,800.00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1.54</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146117</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荟享232A</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100,132,200.00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1.54</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032501074</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25宝应城投PPN002</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80,146,800.00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1.23</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63"/>
        <w:gridCol w:w="1671"/>
        <w:gridCol w:w="1252"/>
        <w:gridCol w:w="1511"/>
        <w:gridCol w:w="1357"/>
        <w:gridCol w:w="1248"/>
        <w:gridCol w:w="10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78" w:hRule="atLeast"/>
          <w:jc w:val="center"/>
        </w:trPr>
        <w:tc>
          <w:tcPr>
            <w:tcW w:w="86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6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1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5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4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100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6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6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52"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1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35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4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00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696"/>
        <w:gridCol w:w="156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4" w:hRule="atLeast"/>
          <w:jc w:val="center"/>
        </w:trPr>
        <w:tc>
          <w:tcPr>
            <w:tcW w:w="69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6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69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6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0101030000001200</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南京银行南京分行南银理财鼎瑞悦稳最低持有371天1号</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napToGrid/>
        <w:spacing w:before="240" w:after="72" w:line="360" w:lineRule="auto"/>
        <w:ind w:firstLine="480" w:firstLineChars="200"/>
        <w:jc w:val="both"/>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p>
    <w:p>
      <w:pPr>
        <w:snapToGrid/>
        <w:spacing w:before="240" w:after="72" w:line="360" w:lineRule="auto"/>
        <w:ind w:firstLine="480" w:firstLineChars="200"/>
        <w:jc w:val="both"/>
        <w:rPr>
          <w:rFonts w:hint="eastAsia" w:ascii="方正仿宋简体" w:eastAsia="方正仿宋简体"/>
          <w:sz w:val="24"/>
          <w:szCs w:val="24"/>
        </w:rPr>
      </w:pPr>
      <w:r>
        <w:rPr>
          <w:rFonts w:hint="eastAsia" w:ascii="方正仿宋简体" w:eastAsia="方正仿宋简体"/>
          <w:sz w:val="24"/>
          <w:szCs w:val="24"/>
        </w:rPr>
        <w:t>产品投资于</w:t>
      </w:r>
      <w:bookmarkStart w:id="0" w:name="_GoBack"/>
      <w:bookmarkEnd w:id="0"/>
      <w:r>
        <w:rPr>
          <w:rFonts w:hint="eastAsia" w:ascii="方正仿宋简体" w:eastAsia="方正仿宋简体"/>
          <w:sz w:val="24"/>
          <w:szCs w:val="24"/>
        </w:rPr>
        <w:t>关联方作为融资人的非标准化债权类资产业务交易金额0.00元。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产品投资于关联方承销的证券交易金额572,326,579.60元。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产品投资关联方作为管理人的资产管理产品交易金额579,999,000.00元。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产品支付关联方托管费231,080.14元，支付关联方代销费155,401.99元。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产品发生其他关联交易金额0.00元。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eastAsia="方正仿宋_GBK"/>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2025年03月31日</w:t>
      </w:r>
    </w:p>
    <w:sectPr>
      <w:headerReference r:id="rId5" w:type="first"/>
      <w:footerReference r:id="rId8" w:type="first"/>
      <w:headerReference r:id="rId3" w:type="default"/>
      <w:footerReference r:id="rId6" w:type="default"/>
      <w:headerReference r:id="rId4" w:type="even"/>
      <w:footerReference r:id="rId7"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黑体简体">
    <w:altName w:val="微软雅黑"/>
    <w:panose1 w:val="00000000000000000000"/>
    <w:charset w:val="86"/>
    <w:family w:val="script"/>
    <w:pitch w:val="default"/>
    <w:sig w:usb0="00000000" w:usb1="00000000" w:usb2="00000010" w:usb3="00000000" w:csb0="00040000" w:csb1="00000000"/>
  </w:font>
  <w:font w:name="方正仿宋简体">
    <w:altName w:val="Arial Unicode MS"/>
    <w:panose1 w:val="00000000000000000000"/>
    <w:charset w:val="86"/>
    <w:family w:val="script"/>
    <w:pitch w:val="default"/>
    <w:sig w:usb0="00000000" w:usb1="00000000" w:usb2="00000010" w:usb3="00000000" w:csb0="00040000" w:csb1="00000000"/>
  </w:font>
  <w:font w:name="方正仿宋_GBK">
    <w:altName w:val="Arial Unicode MS"/>
    <w:panose1 w:val="00000000000000000000"/>
    <w:charset w:val="86"/>
    <w:family w:val="script"/>
    <w:pitch w:val="default"/>
    <w:sig w:usb0="00000000" w:usb1="00000000" w:usb2="00000010" w:usb3="00000000" w:csb0="00040000" w:csb1="00000000"/>
  </w:font>
  <w:font w:name="Calibri Light">
    <w:panose1 w:val="020F0302020204030204"/>
    <w:charset w:val="00"/>
    <w:family w:val="swiss"/>
    <w:pitch w:val="default"/>
    <w:sig w:usb0="A00002EF" w:usb1="4000207B" w:usb2="00000000" w:usb3="00000000" w:csb0="2000019F" w:csb1="00000000"/>
  </w:font>
  <w:font w:name="微软雅黑">
    <w:panose1 w:val="020B0503020204020204"/>
    <w:charset w:val="86"/>
    <w:family w:val="auto"/>
    <w:pitch w:val="default"/>
    <w:sig w:usb0="80000287" w:usb1="280F3C52" w:usb2="00000016" w:usb3="00000000" w:csb0="0004001F" w:csb1="00000000"/>
  </w:font>
  <w:font w:name="Arial Unicode MS">
    <w:panose1 w:val="020B0604020202020204"/>
    <w:charset w:val="86"/>
    <w:family w:val="auto"/>
    <w:pitch w:val="default"/>
    <w:sig w:usb0="FFFFFFFF" w:usb1="E9FFFFFF" w:usb2="0000003F" w:usb3="00000000" w:csb0="603F01FF" w:csb1="FFFF0000"/>
  </w:font>
  <w:font w:name="方正仿宋简体">
    <w:altName w:val="Arial Unicode MS"/>
    <w:panose1 w:val="00000000000000000000"/>
    <w:charset w:val="00"/>
    <w:family w:val="auto"/>
    <w:pitch w:val="default"/>
    <w:sig w:usb0="00000000" w:usb1="00000000" w:usb2="00000000" w:usb3="00000000" w:csb0="00000000" w:csb1="00000000"/>
  </w:font>
  <w:font w:name="Consolas">
    <w:panose1 w:val="020B0609020204030204"/>
    <w:charset w:val="00"/>
    <w:family w:val="auto"/>
    <w:pitch w:val="default"/>
    <w:sig w:usb0="E10002FF" w:usb1="4000FCFF" w:usb2="00000009" w:usb3="00000000" w:csb0="6000019F" w:csb1="DFD7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6"/>
      </w:rPr>
    </w:pPr>
    <w:r>
      <w:fldChar w:fldCharType="begin"/>
    </w:r>
    <w:r>
      <w:rPr>
        <w:rStyle w:val="6"/>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0"/>
  <w:bordersDoNotSurroundFooter w:val="0"/>
  <w:documentProtection w:enforcement="0"/>
  <w:defaultTabStop w:val="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NWYyNWQ5MDZiYWM3OWVhN2E1ZmU3ZDVmOTg3Nzk4MzgifQ=="/>
  </w:docVars>
  <w:rsids>
    <w:rsidRoot w:val="005A7904"/>
    <w:rsid w:val="000044BE"/>
    <w:rsid w:val="000121D1"/>
    <w:rsid w:val="00012B94"/>
    <w:rsid w:val="00012CAC"/>
    <w:rsid w:val="000203D8"/>
    <w:rsid w:val="000215AD"/>
    <w:rsid w:val="00063EA9"/>
    <w:rsid w:val="00072345"/>
    <w:rsid w:val="00097C35"/>
    <w:rsid w:val="000B288D"/>
    <w:rsid w:val="000B2B7B"/>
    <w:rsid w:val="000B4524"/>
    <w:rsid w:val="000C61EE"/>
    <w:rsid w:val="00106906"/>
    <w:rsid w:val="0012494A"/>
    <w:rsid w:val="0013793E"/>
    <w:rsid w:val="00137D06"/>
    <w:rsid w:val="001421A0"/>
    <w:rsid w:val="0015692D"/>
    <w:rsid w:val="001765C7"/>
    <w:rsid w:val="0018311F"/>
    <w:rsid w:val="00210CF6"/>
    <w:rsid w:val="0021176D"/>
    <w:rsid w:val="00245BA0"/>
    <w:rsid w:val="00247E87"/>
    <w:rsid w:val="00262B4B"/>
    <w:rsid w:val="002C44B3"/>
    <w:rsid w:val="002E0397"/>
    <w:rsid w:val="00303D68"/>
    <w:rsid w:val="0030434F"/>
    <w:rsid w:val="00320EE0"/>
    <w:rsid w:val="0032401B"/>
    <w:rsid w:val="0034796F"/>
    <w:rsid w:val="00352282"/>
    <w:rsid w:val="00355FD9"/>
    <w:rsid w:val="00375A11"/>
    <w:rsid w:val="0039556B"/>
    <w:rsid w:val="00395C1C"/>
    <w:rsid w:val="003C00A0"/>
    <w:rsid w:val="003D3C54"/>
    <w:rsid w:val="0040415E"/>
    <w:rsid w:val="00414B37"/>
    <w:rsid w:val="0041563E"/>
    <w:rsid w:val="00463146"/>
    <w:rsid w:val="004822D3"/>
    <w:rsid w:val="00486D6C"/>
    <w:rsid w:val="0049452A"/>
    <w:rsid w:val="004A024D"/>
    <w:rsid w:val="004C1007"/>
    <w:rsid w:val="004D7F94"/>
    <w:rsid w:val="004E5012"/>
    <w:rsid w:val="004F1BE6"/>
    <w:rsid w:val="004F595C"/>
    <w:rsid w:val="00505062"/>
    <w:rsid w:val="0055573F"/>
    <w:rsid w:val="00573EE2"/>
    <w:rsid w:val="005A7904"/>
    <w:rsid w:val="005B2789"/>
    <w:rsid w:val="005B5E17"/>
    <w:rsid w:val="005D04CF"/>
    <w:rsid w:val="005F031B"/>
    <w:rsid w:val="005F7956"/>
    <w:rsid w:val="006053C4"/>
    <w:rsid w:val="00631F68"/>
    <w:rsid w:val="0063323A"/>
    <w:rsid w:val="00650C13"/>
    <w:rsid w:val="006754C1"/>
    <w:rsid w:val="0067684D"/>
    <w:rsid w:val="00676A68"/>
    <w:rsid w:val="0068398A"/>
    <w:rsid w:val="00693399"/>
    <w:rsid w:val="00695491"/>
    <w:rsid w:val="006C7930"/>
    <w:rsid w:val="007120E8"/>
    <w:rsid w:val="00714095"/>
    <w:rsid w:val="00717310"/>
    <w:rsid w:val="007347EF"/>
    <w:rsid w:val="007363F8"/>
    <w:rsid w:val="00751294"/>
    <w:rsid w:val="007620E9"/>
    <w:rsid w:val="00766941"/>
    <w:rsid w:val="007672C3"/>
    <w:rsid w:val="00794F8E"/>
    <w:rsid w:val="007C0575"/>
    <w:rsid w:val="007C36B2"/>
    <w:rsid w:val="007C3F1F"/>
    <w:rsid w:val="007C7DC4"/>
    <w:rsid w:val="007D7CB7"/>
    <w:rsid w:val="007E0C90"/>
    <w:rsid w:val="007E34F4"/>
    <w:rsid w:val="007F2C0A"/>
    <w:rsid w:val="007F53C8"/>
    <w:rsid w:val="008030B3"/>
    <w:rsid w:val="00810A55"/>
    <w:rsid w:val="00820973"/>
    <w:rsid w:val="0084718A"/>
    <w:rsid w:val="00850FCA"/>
    <w:rsid w:val="00870344"/>
    <w:rsid w:val="008833A7"/>
    <w:rsid w:val="00894D12"/>
    <w:rsid w:val="008C7314"/>
    <w:rsid w:val="008F5BE6"/>
    <w:rsid w:val="009150F2"/>
    <w:rsid w:val="0093559E"/>
    <w:rsid w:val="00944F3B"/>
    <w:rsid w:val="009515A9"/>
    <w:rsid w:val="009663C6"/>
    <w:rsid w:val="009800BA"/>
    <w:rsid w:val="009904D8"/>
    <w:rsid w:val="009D0C1A"/>
    <w:rsid w:val="009D656A"/>
    <w:rsid w:val="009D6737"/>
    <w:rsid w:val="009D6D5E"/>
    <w:rsid w:val="009E2AE4"/>
    <w:rsid w:val="009E6E45"/>
    <w:rsid w:val="009F0D8D"/>
    <w:rsid w:val="009F7125"/>
    <w:rsid w:val="00A112F8"/>
    <w:rsid w:val="00A12D79"/>
    <w:rsid w:val="00A274D5"/>
    <w:rsid w:val="00A55DE1"/>
    <w:rsid w:val="00A60FAC"/>
    <w:rsid w:val="00A61A2A"/>
    <w:rsid w:val="00A72E96"/>
    <w:rsid w:val="00A81610"/>
    <w:rsid w:val="00AB2343"/>
    <w:rsid w:val="00AB6CFB"/>
    <w:rsid w:val="00AE2FD4"/>
    <w:rsid w:val="00B1693A"/>
    <w:rsid w:val="00B30356"/>
    <w:rsid w:val="00B31E80"/>
    <w:rsid w:val="00B54020"/>
    <w:rsid w:val="00B6100D"/>
    <w:rsid w:val="00B612B8"/>
    <w:rsid w:val="00B751B8"/>
    <w:rsid w:val="00B86655"/>
    <w:rsid w:val="00B91322"/>
    <w:rsid w:val="00B92DFA"/>
    <w:rsid w:val="00BA2C30"/>
    <w:rsid w:val="00BD00A8"/>
    <w:rsid w:val="00C17A02"/>
    <w:rsid w:val="00C62A28"/>
    <w:rsid w:val="00C872EF"/>
    <w:rsid w:val="00C945B6"/>
    <w:rsid w:val="00CA4B23"/>
    <w:rsid w:val="00CA4CDA"/>
    <w:rsid w:val="00D038A1"/>
    <w:rsid w:val="00D21AF8"/>
    <w:rsid w:val="00D35825"/>
    <w:rsid w:val="00D36374"/>
    <w:rsid w:val="00D45351"/>
    <w:rsid w:val="00D83890"/>
    <w:rsid w:val="00D95925"/>
    <w:rsid w:val="00DB25C1"/>
    <w:rsid w:val="00DB5077"/>
    <w:rsid w:val="00DD60D3"/>
    <w:rsid w:val="00DE5E66"/>
    <w:rsid w:val="00DE6F49"/>
    <w:rsid w:val="00E022D1"/>
    <w:rsid w:val="00E06F91"/>
    <w:rsid w:val="00E13E4F"/>
    <w:rsid w:val="00E22F50"/>
    <w:rsid w:val="00E355D3"/>
    <w:rsid w:val="00E467AB"/>
    <w:rsid w:val="00E5116E"/>
    <w:rsid w:val="00E728E0"/>
    <w:rsid w:val="00EB38B7"/>
    <w:rsid w:val="00EB5E48"/>
    <w:rsid w:val="00EB6923"/>
    <w:rsid w:val="00EC5DC8"/>
    <w:rsid w:val="00EF1F1C"/>
    <w:rsid w:val="00F01D00"/>
    <w:rsid w:val="00F02F01"/>
    <w:rsid w:val="00F035EE"/>
    <w:rsid w:val="00F167FC"/>
    <w:rsid w:val="00F2084D"/>
    <w:rsid w:val="00F359BD"/>
    <w:rsid w:val="00F4518F"/>
    <w:rsid w:val="00F50865"/>
    <w:rsid w:val="00F62D3E"/>
    <w:rsid w:val="00F65097"/>
    <w:rsid w:val="00F81499"/>
    <w:rsid w:val="00F81FB3"/>
    <w:rsid w:val="00F90D3B"/>
    <w:rsid w:val="00F91E69"/>
    <w:rsid w:val="00F95842"/>
    <w:rsid w:val="00FB320C"/>
    <w:rsid w:val="00FB40D3"/>
    <w:rsid w:val="00FB54AE"/>
    <w:rsid w:val="00FE41E6"/>
    <w:rsid w:val="0A32571F"/>
    <w:rsid w:val="0CC420DD"/>
    <w:rsid w:val="1FC4188E"/>
    <w:rsid w:val="35136ADD"/>
    <w:rsid w:val="4D550AEB"/>
    <w:rsid w:val="509470EC"/>
    <w:rsid w:val="59E74023"/>
    <w:rsid w:val="5EBA334B"/>
    <w:rsid w:val="654F116F"/>
    <w:rsid w:val="67344534"/>
    <w:rsid w:val="6B00012E"/>
    <w:rsid w:val="702871A7"/>
  </w:rsids>
  <m:mathPr>
    <m:lMargin m:val="0"/>
    <m:mathFont m:val="Cambria Math"/>
    <m:rMargin m:val="0"/>
    <m:wrapIndent m:val="1440"/>
    <m:brkBin m:val="before"/>
    <m:brkBinSub m:val="--"/>
    <m:defJc m:val="centerGroup"/>
    <m:intLim m:val="subSup"/>
    <m:naryLim m:val="undOvr"/>
    <m:smallFrac m:val=""/>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napToGrid w:val="0"/>
      <w:spacing w:afterLines="30"/>
    </w:pPr>
    <w:rPr>
      <w:rFonts w:ascii="Times New Roman" w:hAnsi="Times New Roman" w:eastAsia="宋体" w:cs="Times New Roman"/>
      <w:kern w:val="2"/>
      <w:sz w:val="21"/>
      <w:szCs w:val="22"/>
      <w:lang w:val="en-US" w:eastAsia="zh-CN" w:bidi="ar-SA"/>
    </w:rPr>
  </w:style>
  <w:style w:type="character" w:default="1" w:styleId="5">
    <w:name w:val="Default Paragraph Font"/>
    <w:unhideWhenUsed/>
    <w:qFormat/>
    <w:uiPriority w:val="1"/>
  </w:style>
  <w:style w:type="table" w:default="1" w:styleId="7">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jc w:val="center"/>
    </w:pPr>
    <w:rPr>
      <w:sz w:val="18"/>
      <w:szCs w:val="18"/>
    </w:rPr>
  </w:style>
  <w:style w:type="paragraph" w:styleId="4">
    <w:name w:val="Normal (Web)"/>
    <w:basedOn w:val="1"/>
    <w:qFormat/>
    <w:uiPriority w:val="0"/>
    <w:pPr>
      <w:spacing w:before="100" w:beforeAutospacing="1" w:after="100" w:afterAutospacing="1"/>
    </w:pPr>
    <w:rPr>
      <w:rFonts w:ascii="宋体" w:hAnsi="宋体"/>
      <w:kern w:val="0"/>
      <w:sz w:val="24"/>
      <w:szCs w:val="24"/>
    </w:rPr>
  </w:style>
  <w:style w:type="character" w:styleId="6">
    <w:name w:val="page number"/>
    <w:basedOn w:val="5"/>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5"/>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autoSpaceDE w:val="0"/>
      <w:autoSpaceDN w:val="0"/>
      <w:adjustRightInd w:val="0"/>
      <w:spacing w:before="29" w:line="288" w:lineRule="auto"/>
      <w:ind w:left="15"/>
    </w:pPr>
    <w:rPr>
      <w:rFonts w:ascii="宋体" w:hAnsi="宋体" w:cs="宋体"/>
      <w:kern w:val="0"/>
      <w:sz w:val="24"/>
      <w:szCs w:val="24"/>
    </w:rPr>
  </w:style>
  <w:style w:type="paragraph" w:customStyle="1" w:styleId="11">
    <w:name w:val="zhangjie_p2"/>
    <w:basedOn w:val="1"/>
    <w:qFormat/>
    <w:uiPriority w:val="0"/>
    <w:pPr>
      <w:autoSpaceDE w:val="0"/>
      <w:autoSpaceDN w:val="0"/>
      <w:adjustRightInd w:val="0"/>
      <w:spacing w:before="24" w:line="288" w:lineRule="auto"/>
      <w:ind w:left="15"/>
    </w:pPr>
    <w:rPr>
      <w:rFonts w:ascii="宋体" w:hAnsi="宋体" w:cs="宋体"/>
      <w:kern w:val="0"/>
      <w:sz w:val="24"/>
      <w:szCs w:val="24"/>
    </w:rPr>
  </w:style>
  <w:style w:type="paragraph" w:customStyle="1" w:styleId="12">
    <w:name w:val="biaoge_center"/>
    <w:basedOn w:val="1"/>
    <w:qFormat/>
    <w:uiPriority w:val="0"/>
    <w:pPr>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autoSpaceDE w:val="0"/>
      <w:autoSpaceDN w:val="0"/>
      <w:adjustRightInd w:val="0"/>
      <w:spacing w:before="29" w:line="288" w:lineRule="auto"/>
      <w:ind w:left="15"/>
    </w:pPr>
    <w:rPr>
      <w:rFonts w:ascii="宋体" w:hAnsi="宋体" w:cs="宋体"/>
      <w:kern w:val="0"/>
      <w:sz w:val="24"/>
      <w:szCs w:val="24"/>
    </w:rPr>
  </w:style>
  <w:style w:type="paragraph" w:customStyle="1" w:styleId="17">
    <w:name w:val="zhangjie_p"/>
    <w:basedOn w:val="1"/>
    <w:qFormat/>
    <w:uiPriority w:val="0"/>
    <w:pPr>
      <w:autoSpaceDE w:val="0"/>
      <w:autoSpaceDN w:val="0"/>
      <w:adjustRightInd w:val="0"/>
      <w:spacing w:before="24" w:line="288" w:lineRule="auto"/>
      <w:ind w:left="15"/>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5"/>
    <w:link w:val="3"/>
    <w:qFormat/>
    <w:uiPriority w:val="99"/>
    <w:rPr>
      <w:rFonts w:ascii="Times New Roman" w:hAnsi="Times New Roman" w:eastAsia="宋体" w:cs="Times New Roman"/>
      <w:sz w:val="18"/>
      <w:szCs w:val="18"/>
    </w:rPr>
  </w:style>
  <w:style w:type="paragraph" w:customStyle="1" w:styleId="20">
    <w:name w:val="列出段落1"/>
    <w:basedOn w:val="1"/>
    <w:qFormat/>
    <w:uiPriority w:val="99"/>
    <w:pPr>
      <w:ind w:firstLine="420" w:firstLineChars="200"/>
    </w:p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customXml/item1.xml" Type="http://schemas.openxmlformats.org/officeDocument/2006/relationships/customXml"/><Relationship Id="rId11" Target="fontTable.xml" Type="http://schemas.openxmlformats.org/officeDocument/2006/relationships/fontTable"/><Relationship Id="rId2" Target="settings.xml" Type="http://schemas.openxmlformats.org/officeDocument/2006/relationships/settings"/><Relationship Id="rId3" Target="header1.xml" Type="http://schemas.openxmlformats.org/officeDocument/2006/relationships/header"/><Relationship Id="rId4" Target="header2.xml" Type="http://schemas.openxmlformats.org/officeDocument/2006/relationships/header"/><Relationship Id="rId5" Target="header3.xml" Type="http://schemas.openxmlformats.org/officeDocument/2006/relationships/header"/><Relationship Id="rId6" Target="footer1.xml" Type="http://schemas.openxmlformats.org/officeDocument/2006/relationships/footer"/><Relationship Id="rId7" Target="footer2.xml" Type="http://schemas.openxmlformats.org/officeDocument/2006/relationships/footer"/><Relationship Id="rId8" Target="footer3.xml" Type="http://schemas.openxmlformats.org/officeDocument/2006/relationships/footer"/><Relationship Id="rId9"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cc</Company>
  <Pages>6</Pages>
  <Words>346</Words>
  <Characters>1974</Characters>
  <Lines>16</Lines>
  <Paragraphs>4</Paragraphs>
  <ScaleCrop>false</ScaleCrop>
  <LinksUpToDate>false</LinksUpToDate>
  <CharactersWithSpaces>2316</CharactersWithSpaces>
  <Application>WPS Office_10.8.0.6058_F1E327BC-269C-435d-A152-05C5408002CA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2022-07-23T09:20:00Z</dcterms:created>
  <dc:creator>演示人</dc:creator>
  <cp:lastModifiedBy>兆尹科技</cp:lastModifiedBy>
  <dcterms:modified xsi:type="dcterms:W3CDTF">2024-02-05T03:10:37Z</dcterms:modified>
  <cp:revision>124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DA7D07A671F94F61B430BF557E8AE20F</vt:lpwstr>
  </property>
</Properties>
</file>