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Z7003224000051（投资者可依据该编码在中国理财网www.chinawealth.com.cn查询理财产品相关信息）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504,213,397.00份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195,453,398.16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311,364,008.27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2,897,375.27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截至报告期末，本产品Y60063份额净值为1.0107元，Y61063份额净值为1.0110元，Y62063份额净值为1.0114元。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257,988,717.85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138,440,883.78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112,362,768.00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淮安科教产业投资控股有限公司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淮安市清浦城市改造建设投资开发有限公司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0101080000000934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产品支付关联方托管费0.00元，支付关联方代销费14,897.13元。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