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pacing w:before="240" w:after="72" w:line="360" w:lineRule="auto"/>
        <w:rPr>
          <w:rFonts w:asciiTheme="minorEastAsia" w:hAnsiTheme="minorEastAsia" w:eastAsiaTheme="minorEastAsia"/>
        </w:rPr>
      </w:pP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南银理财珠联璧合鑫逸稳两年52期封闭式公募人民币理财产品</w:t>
      </w:r>
    </w:p>
    <w:p>
      <w:pPr>
        <w:snapToGrid w:val="0"/>
        <w:spacing w:before="240" w:after="72" w:line="360" w:lineRule="auto"/>
        <w:jc w:val="center"/>
        <w:rPr>
          <w:rFonts w:ascii="方正黑体简体" w:hAnsi="Calibri" w:eastAsia="方正黑体简体"/>
          <w:sz w:val="36"/>
        </w:rPr>
      </w:pPr>
      <w:r>
        <w:rPr>
          <w:rFonts w:hint="eastAsia" w:ascii="方正黑体简体" w:hAnsi="Calibri" w:eastAsia="方正黑体简体"/>
          <w:sz w:val="36"/>
        </w:rPr>
        <w:t>2024年第2季度报告</w:t>
      </w: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pacing w:before="240" w:after="72" w:line="360" w:lineRule="auto"/>
        <w:jc w:val="center"/>
        <w:rPr>
          <w:rFonts w:ascii="方正黑体简体" w:eastAsia="方正黑体简体"/>
          <w:sz w:val="36"/>
          <w:szCs w:val="36"/>
        </w:rPr>
      </w:pP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产品管理人:南银理财有限责任公司</w:t>
      </w:r>
    </w:p>
    <w:p>
      <w:pPr>
        <w:snapToGrid w:val="0"/>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产品托管人:南京银行股份有限公司</w:t>
      </w:r>
    </w:p>
    <w:p>
      <w:pPr>
        <w:spacing w:before="240" w:after="72" w:line="360" w:lineRule="auto"/>
        <w:rPr>
          <w:rFonts w:ascii="方正黑体简体" w:eastAsia="方正黑体简体"/>
          <w:sz w:val="36"/>
          <w:szCs w:val="36"/>
        </w:rPr>
      </w:pPr>
    </w:p>
    <w:p>
      <w:pPr>
        <w:spacing w:before="240" w:after="72" w:line="360" w:lineRule="auto"/>
        <w:rPr>
          <w:rFonts w:ascii="方正黑体简体" w:eastAsia="方正黑体简体"/>
          <w:sz w:val="36"/>
          <w:szCs w:val="36"/>
        </w:rPr>
      </w:pPr>
    </w:p>
    <w:p>
      <w:pPr>
        <w:widowControl/>
        <w:spacing w:before="240" w:afterLines="0" w:line="360" w:lineRule="auto"/>
        <w:jc w:val="left"/>
        <w:rPr>
          <w:rFonts w:ascii="方正仿宋_GBK" w:hAnsi="Calibri" w:eastAsia="方正仿宋_GBK"/>
          <w:b/>
        </w:rPr>
      </w:pPr>
      <w:r>
        <w:rPr>
          <w:rFonts w:ascii="方正仿宋_GBK" w:hAnsi="Calibri" w:eastAsia="方正仿宋_GBK"/>
          <w:b/>
        </w:rPr>
        <w:br w:type="page"/>
      </w: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§1 产品概况</w:t>
      </w:r>
    </w:p>
    <w:tbl>
      <w:tblPr>
        <w:tblStyle w:val="7"/>
        <w:tblpPr w:leftFromText="180" w:rightFromText="180" w:vertAnchor="text" w:tblpY="1"/>
        <w:tblOverlap w:val="never"/>
        <w:tblW w:w="889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19"/>
        <w:gridCol w:w="61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产品全称</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南银理财珠联璧合鑫逸稳两年52期封闭式公募人民币理财产品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00"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产品登记编码</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Z7003223000243（投资者可依据该编码在中国理财网www.chinawealth.com.cn查询理财产品相关信息）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产品运作方式</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封闭式净值型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产品成立日</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2023年12月20日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报告期末产品份额总额</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158,195,009.00份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88"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合作机构</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国通信托有限责任公司,平安资产管理有限责任公司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产品管理人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南银理财有限责任公司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714" w:hRule="atLeast"/>
        </w:trPr>
        <w:tc>
          <w:tcPr>
            <w:tcW w:w="2719"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产品托管人</w:t>
            </w:r>
          </w:p>
        </w:tc>
        <w:tc>
          <w:tcPr>
            <w:tcW w:w="6178" w:type="dxa"/>
            <w:vAlign w:val="center"/>
          </w:tcPr>
          <w:p>
            <w:pPr>
              <w:spacing w:before="48" w:beforeLines="20" w:after="48" w:afterLines="20"/>
              <w:jc w:val="left"/>
              <w:rPr>
                <w:rFonts w:ascii="方正仿宋简体" w:eastAsia="方正仿宋简体"/>
                <w:sz w:val="24"/>
                <w:szCs w:val="24"/>
              </w:rPr>
            </w:pPr>
            <w:r>
              <w:rPr>
                <w:rFonts w:hint="eastAsia" w:ascii="方正仿宋简体" w:eastAsia="方正仿宋简体"/>
                <w:sz w:val="24"/>
                <w:szCs w:val="24"/>
              </w:rPr>
              <w:t>南京银行股份有限公司</w:t>
            </w:r>
          </w:p>
        </w:tc>
      </w:tr>
    </w:tbl>
    <w:p>
      <w:pPr>
        <w:spacing w:before="240" w:after="72" w:line="360" w:lineRule="auto"/>
        <w:rPr>
          <w:rFonts w:ascii="方正仿宋_GBK" w:hAnsi="宋体" w:eastAsia="方正仿宋_GBK" w:cs="宋体"/>
          <w:kern w:val="0"/>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§2  主要财务指标</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2.1 主要财务指标</w:t>
      </w:r>
    </w:p>
    <w:p>
      <w:pPr>
        <w:spacing w:before="240" w:after="72" w:line="360" w:lineRule="auto"/>
        <w:jc w:val="right"/>
        <w:rPr>
          <w:rFonts w:ascii="方正仿宋简体" w:eastAsia="方正仿宋简体"/>
          <w:sz w:val="24"/>
          <w:szCs w:val="24"/>
        </w:rPr>
      </w:pPr>
      <w:r>
        <w:rPr>
          <w:rFonts w:hint="eastAsia" w:ascii="方正仿宋简体" w:eastAsia="方正仿宋简体"/>
          <w:sz w:val="24"/>
          <w:szCs w:val="24"/>
        </w:rPr>
        <w:t>单位：人民币元</w:t>
      </w:r>
    </w:p>
    <w:tbl>
      <w:tblPr>
        <w:tblStyle w:val="7"/>
        <w:tblpPr w:leftFromText="180" w:rightFromText="180" w:vertAnchor="text" w:tblpXSpec="center" w:tblpY="1"/>
        <w:tblOverlap w:val="never"/>
        <w:tblW w:w="9067"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1838"/>
        <w:gridCol w:w="2693"/>
        <w:gridCol w:w="2410"/>
        <w:gridCol w:w="212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99" w:hRule="atLeast"/>
          <w:jc w:val="center"/>
        </w:trPr>
        <w:tc>
          <w:tcPr>
            <w:tcW w:w="1838" w:type="dxa"/>
            <w:vMerge w:val="restart"/>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内部销售代码</w:t>
            </w:r>
          </w:p>
        </w:tc>
        <w:tc>
          <w:tcPr>
            <w:tcW w:w="7229" w:type="dxa"/>
            <w:gridSpan w:val="3"/>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报告期（2024年04月01日 - 2024年06月30日）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97" w:hRule="atLeast"/>
          <w:jc w:val="center"/>
        </w:trPr>
        <w:tc>
          <w:tcPr>
            <w:tcW w:w="1838" w:type="dxa"/>
            <w:vMerge w:val="continue"/>
            <w:vAlign w:val="center"/>
          </w:tcPr>
          <w:p>
            <w:pPr>
              <w:spacing w:before="48" w:beforeLines="20" w:after="48" w:afterLines="20"/>
              <w:jc w:val="center"/>
              <w:rPr>
                <w:rFonts w:ascii="方正仿宋简体" w:eastAsia="方正仿宋简体"/>
                <w:sz w:val="24"/>
                <w:szCs w:val="24"/>
              </w:rPr>
            </w:pPr>
          </w:p>
        </w:tc>
        <w:tc>
          <w:tcPr>
            <w:tcW w:w="269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1.期末产品最后一个市场交易日资产净值</w:t>
            </w:r>
          </w:p>
        </w:tc>
        <w:tc>
          <w:tcPr>
            <w:tcW w:w="241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2.期末产品最后一个市场交易日份额净值</w:t>
            </w:r>
          </w:p>
        </w:tc>
        <w:tc>
          <w:tcPr>
            <w:tcW w:w="212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3.期末产品最后一个市场交易日份额累计净值</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Y60052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81,872,311.05</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1.0218</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Y61052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56,466,565.56</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1.0223</w:t>
            </w:r>
          </w:p>
        </w:tc>
      </w:tr>
      <w:tr>
        <w:trPr>
          <w:trHeight w:val="565" w:hRule="atLeast"/>
          <w:jc w:val="center"/>
        </w:trPr>
        <w:tc>
          <w:tcPr>
            <w:tcW w:w="183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Y62052</w:t>
            </w:r>
          </w:p>
        </w:tc>
        <w:tc>
          <w:tcPr>
            <w:tcW w:w="269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23,364,385.73</w:t>
            </w:r>
          </w:p>
        </w:tc>
        <w:tc>
          <w:tcPr>
            <w:tcW w:w="241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w:t>
            </w:r>
          </w:p>
        </w:tc>
        <w:tc>
          <w:tcPr>
            <w:tcW w:w="212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1.0228</w:t>
            </w:r>
          </w:p>
        </w:tc>
      </w:tr>
    </w:tbl>
    <w:p>
      <w:pPr>
        <w:pStyle w:val="10"/>
        <w:spacing w:before="240" w:after="72" w:line="360" w:lineRule="auto"/>
        <w:ind w:left="0"/>
        <w:rPr>
          <w:rFonts w:ascii="方正仿宋简体" w:hAnsi="Times New Roman" w:eastAsia="方正仿宋简体" w:cs="Times New Roman"/>
          <w:kern w:val="2"/>
        </w:rPr>
      </w:pPr>
      <w:r>
        <w:rPr>
          <w:rFonts w:hint="eastAsia" w:ascii="方正仿宋简体" w:hAnsi="Times New Roman" w:eastAsia="方正仿宋简体" w:cs="Times New Roman"/>
          <w:kern w:val="2"/>
        </w:rPr>
        <w:t>注：产品净值可能存在未扣除管理人及投资合作机构业绩报酬、赎回费等费用（如有）的情况，实际收益以兑付为准。</w:t>
      </w:r>
    </w:p>
    <w:p>
      <w:pPr>
        <w:spacing w:before="240" w:after="72" w:line="360" w:lineRule="auto"/>
        <w:rPr>
          <w:rFonts w:ascii="方正仿宋_GBK"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§3  管理人报告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3.1 报告期内产品的投资策略和运作分析</w:t>
      </w:r>
    </w:p>
    <w:p>
      <w:pPr>
        <w:spacing w:before="240" w:after="72" w:line="360" w:lineRule="auto"/>
        <w:rPr>
          <w:rFonts w:ascii="方正仿宋简体" w:eastAsia="方正仿宋简体"/>
          <w:sz w:val="24"/>
          <w:szCs w:val="24"/>
        </w:rPr>
      </w:pPr>
      <w:r>
        <w:rPr>
          <w:rFonts w:hint="eastAsia" w:ascii="方正仿宋简体" w:eastAsia="方正仿宋简体"/>
          <w:sz w:val="24"/>
          <w:szCs w:val="24"/>
        </w:rPr>
        <w:t>  上半年经济整体呈现需求偏弱、生产旺盛的状态，对经济形成拖累的：一是地产投资增速持续下行，二是居民消费偏保守，三是基建投资进度较慢。二季度，在经济下行压力之下，4月政治局会议提出加快财政支出力度、地产去库存等，并在后续陆续出台相关政策。二季度央行多数时间缩量开展逆回购，资金面整体较为平稳，流动性分层明显缓解，央行货币政策有发力空间，但短期面临内外部因素制约。二季度利率整体呈现缓慢下行趋势，4月初受政治局会议等影响利率快速上行，随后在经济修复较慢和资金利率宽松的背景下，收益率持续回落。10年国债从4月初的2.3%下行至6月末的2.2%，信用债下行30-50bp不等，其中中低评级、长久期的品种下行幅度更大。</w:t>
        <w:br w:type="textWrapping" w:clear="all"/>
      </w:r>
      <w:r>
        <w:rPr>
          <w:rFonts w:hint="eastAsia" w:ascii="方正仿宋简体" w:eastAsia="方正仿宋简体"/>
          <w:sz w:val="24"/>
          <w:szCs w:val="24"/>
        </w:rPr>
        <w:t>  往后看，地产销售仍较为一般，居民预期普遍偏弱，地产对经济的拖累仍存，地产新政出台后效果也有限，地方债发行速度有所加快，但基建进度仍较慢，金融数据显示实体经济融资需求较弱，货币政策预计维持宽松基调。三季度基本面、供需关系对债市仍构成支撑，货币政策维持宽松仍提供了安全边际，利率预计维持震荡下行格局，在这种背景下，对于合意的信用债资产保持积极配置，保持适度杠杆以增厚票息收益，控制久期。</w:t>
        <w:br w:type="textWrapping" w:clear="all"/>
      </w:r>
      <w:r>
        <w:rPr>
          <w:rFonts w:hint="eastAsia" w:ascii="方正仿宋简体" w:eastAsia="方正仿宋简体"/>
          <w:sz w:val="24"/>
          <w:szCs w:val="24"/>
        </w:rPr>
        <w:t>  鑫逸稳两年期封闭式产品，今年二季度产品操作稳健偏积极，二季度债券市场整体延续走强态势，利率、存单等横盘后向下突破，信用各品种利差继续压缩至极低水平，债市在资产荒驱动下收益率下探至新低。二季度产品运作过程中把握债券估值性价比相对较高的窗口期，积极寻找个券配置机会，提升组合久期和静态，由于流动性环境充裕，组合运作保持了适度的杠杆水平以增厚产品收益。市场机会把握方面，除了企业类信用品种外，主要关注并参与了银行资本补充工具、利率债等的投资机会，获得了不错的票息及资本利得增厚。下一阶段，产品将继续围绕稳健回报的收益目标进行操作，审慎精选票息品种，久期维持中性水平跟住市场，及时做好市场走势的跟踪与研判，挖掘潜在投资机会。</w:t>
      </w:r>
      <w:r>
        <w:rPr>
          <w:rFonts w:hint="eastAsia" w:ascii="方正仿宋简体" w:eastAsia="方正仿宋简体"/>
          <w:sz w:val="24"/>
          <w:szCs w:val="24"/>
        </w:rPr>
        <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3.2 报告期内产品的流动性风险分析</w:t>
      </w:r>
    </w:p>
    <w:p>
      <w:pPr>
        <w:spacing w:before="240" w:after="72" w:line="360" w:lineRule="auto"/>
        <w:rPr>
          <w:rFonts w:ascii="方正仿宋简体" w:eastAsia="方正仿宋简体"/>
          <w:sz w:val="24"/>
          <w:szCs w:val="24"/>
        </w:rPr>
      </w:pPr>
      <w:r>
        <w:rPr>
          <w:rFonts w:ascii="方正仿宋简体" w:eastAsia="方正仿宋简体"/>
          <w:sz w:val="24"/>
          <w:szCs w:val="24"/>
        </w:rPr>
        <w:t>  今年二季度以来，非银资金成本分层并不显著，资金环境整体维持平稳偏松，产品保留了合理的流动性资产仓位以应对时点性的市场波动。下阶段产品将继续保持稳健的投资风格，在风险可控的前提下灵活运用杠杆，合理排布融资期限。同时关注市场各关键时点资金波动情况，做好流动性预判和资产到期分布安排，提前做好应对方案，防范流动性风险。</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3.3 报告期内产品的业绩表现</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截至报告期末，本产品Y60052份额净值为1.0219元，Y61052份额净值为1.0224元，Y62052份额净值为1.0229元。</w:t>
      </w:r>
    </w:p>
    <w:p>
      <w:pPr>
        <w:spacing w:before="240" w:after="72" w:line="360" w:lineRule="auto"/>
        <w:rPr>
          <w:rFonts w:ascii="方正仿宋_GBK" w:hAnsi="宋体" w:eastAsia="方正仿宋_GBK"/>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§4  投资组合报告</w:t>
      </w: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4.1 报告期末产品资产组合情况</w:t>
      </w:r>
    </w:p>
    <w:tbl>
      <w:tblPr>
        <w:tblStyle w:val="7"/>
        <w:tblpPr w:leftFromText="180" w:rightFromText="180" w:vertAnchor="text" w:tblpXSpec="center" w:tblpY="1"/>
        <w:tblOverlap w:val="never"/>
        <w:tblW w:w="8895"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45"/>
        <w:gridCol w:w="1859"/>
        <w:gridCol w:w="3002"/>
        <w:gridCol w:w="32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资产类别</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穿透前占总资产比例</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穿透后占总资产比例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固定收益类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2</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权益类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3</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商品及金融衍生品类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4</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混合类</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745"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5</w:t>
            </w:r>
          </w:p>
        </w:tc>
        <w:tc>
          <w:tcPr>
            <w:tcW w:w="185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合计</w:t>
            </w:r>
          </w:p>
        </w:tc>
        <w:tc>
          <w:tcPr>
            <w:tcW w:w="3002"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c>
          <w:tcPr>
            <w:tcW w:w="3289" w:type="dxa"/>
            <w:tcBorders>
              <w:top w:val="single" w:color="auto" w:sz="4" w:space="0"/>
              <w:left w:val="single" w:color="auto" w:sz="4" w:space="0"/>
              <w:bottom w:val="single" w:color="auto" w:sz="4" w:space="0"/>
              <w:right w:val="single" w:color="auto" w:sz="4" w:space="0"/>
            </w:tcBorders>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100.00%</w:t>
            </w:r>
          </w:p>
        </w:tc>
      </w:tr>
    </w:tbl>
    <w:p>
      <w:pPr>
        <w:spacing w:before="240" w:after="72" w:line="360" w:lineRule="auto"/>
        <w:rPr>
          <w:rFonts w:ascii="方正仿宋_GBK" w:eastAsia="方正仿宋_GBK"/>
          <w:sz w:val="24"/>
          <w:szCs w:val="24"/>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4.2 报告期末按公允价值占产品资产净值比例大小排序的前十名资产投资明细</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50"/>
        <w:gridCol w:w="1581"/>
        <w:gridCol w:w="2712"/>
        <w:gridCol w:w="2052"/>
        <w:gridCol w:w="180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233" w:hRule="atLeast"/>
          <w:jc w:val="center"/>
        </w:trPr>
        <w:tc>
          <w:tcPr>
            <w:tcW w:w="75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58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代码</w:t>
            </w:r>
          </w:p>
        </w:tc>
        <w:tc>
          <w:tcPr>
            <w:tcW w:w="271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名称</w:t>
            </w:r>
          </w:p>
        </w:tc>
        <w:tc>
          <w:tcPr>
            <w:tcW w:w="2052"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公允价值（元）</w:t>
            </w:r>
          </w:p>
        </w:tc>
        <w:tc>
          <w:tcPr>
            <w:tcW w:w="180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占产品资产净值比例（％）</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ZJQTT202210120029</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平安资产如意37号</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81,601,864.83</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50.46</w:t>
            </w:r>
          </w:p>
        </w:tc>
      </w:tr>
      <w:tr>
        <w:trPr>
          <w:trHeight w:val="583" w:hRule="atLeast"/>
          <w:jc w:val="center"/>
        </w:trPr>
        <w:tc>
          <w:tcPr>
            <w:tcW w:w="750"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1" w:type="dxa"/>
            <w:shd w:val="clear" w:color="auto" w:fill="auto"/>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XTDKX202401290001</w:t>
            </w:r>
          </w:p>
        </w:tc>
        <w:tc>
          <w:tcPr>
            <w:tcW w:w="271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2052"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79,220,733.90</w:t>
            </w:r>
          </w:p>
        </w:tc>
        <w:tc>
          <w:tcPr>
            <w:tcW w:w="1807" w:type="dxa"/>
            <w:shd w:val="clear" w:color="000000" w:fill="FFFFFF"/>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48.99</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rPr>
          <w:rFonts w:ascii="方正仿宋简体" w:eastAsia="方正仿宋简体"/>
          <w:b/>
          <w:sz w:val="24"/>
          <w:szCs w:val="24"/>
        </w:rPr>
      </w:pPr>
      <w:r>
        <w:rPr>
          <w:rFonts w:hint="eastAsia" w:ascii="方正仿宋简体" w:eastAsia="方正仿宋简体"/>
          <w:b/>
          <w:sz w:val="24"/>
          <w:szCs w:val="24"/>
        </w:rPr>
        <w:t>4.3报告期末非标准化债权类资产明细</w:t>
      </w:r>
    </w:p>
    <w:tbl>
      <w:tblPr>
        <w:tblStyle w:val="7"/>
        <w:tblpPr w:leftFromText="180" w:rightFromText="180" w:vertAnchor="text" w:tblpXSpec="center" w:tblpY="1"/>
        <w:tblOverlap w:val="never"/>
        <w:tblW w:w="8926"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77"/>
        <w:gridCol w:w="1704"/>
        <w:gridCol w:w="1275"/>
        <w:gridCol w:w="1540"/>
        <w:gridCol w:w="1383"/>
        <w:gridCol w:w="1271"/>
        <w:gridCol w:w="8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078" w:hRule="atLeast"/>
          <w:jc w:val="center"/>
        </w:trPr>
        <w:tc>
          <w:tcPr>
            <w:tcW w:w="87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704"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融资客户</w:t>
            </w:r>
          </w:p>
        </w:tc>
        <w:tc>
          <w:tcPr>
            <w:tcW w:w="1275"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项目名称</w:t>
            </w:r>
          </w:p>
        </w:tc>
        <w:tc>
          <w:tcPr>
            <w:tcW w:w="1540"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剩余融资期限（</w:t>
            </w:r>
            <w:r>
              <w:rPr>
                <w:rFonts w:ascii="方正仿宋简体" w:eastAsia="方正仿宋简体"/>
                <w:sz w:val="24"/>
                <w:szCs w:val="24"/>
              </w:rPr>
              <w:t>天）</w:t>
            </w:r>
          </w:p>
        </w:tc>
        <w:tc>
          <w:tcPr>
            <w:tcW w:w="13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到期收益分配</w:t>
            </w:r>
          </w:p>
        </w:tc>
        <w:tc>
          <w:tcPr>
            <w:tcW w:w="1271"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交易结构</w:t>
            </w:r>
          </w:p>
        </w:tc>
        <w:tc>
          <w:tcPr>
            <w:tcW w:w="87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风险状况</w:t>
            </w:r>
          </w:p>
        </w:tc>
      </w:tr>
      <w:tr>
        <w:trPr>
          <w:trHeight w:val="571" w:hRule="atLeast"/>
          <w:jc w:val="center"/>
        </w:trPr>
        <w:tc>
          <w:tcPr>
            <w:tcW w:w="87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江苏双湖投资控股集团有限公司</w:t>
            </w:r>
          </w:p>
        </w:tc>
        <w:tc>
          <w:tcPr>
            <w:tcW w:w="1275"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国通信托·江苏双湖集合资金信托计划第1期</w:t>
            </w:r>
          </w:p>
        </w:tc>
        <w:tc>
          <w:tcPr>
            <w:tcW w:w="1540"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542</w:t>
            </w:r>
          </w:p>
        </w:tc>
        <w:tc>
          <w:tcPr>
            <w:tcW w:w="13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按季付息，到期还本</w:t>
            </w:r>
          </w:p>
        </w:tc>
        <w:tc>
          <w:tcPr>
            <w:tcW w:w="1271"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信托贷款</w:t>
            </w:r>
          </w:p>
        </w:tc>
        <w:tc>
          <w:tcPr>
            <w:tcW w:w="87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pPr>
        <w:spacing w:before="240" w:after="72" w:line="360" w:lineRule="auto"/>
        <w:rPr>
          <w:rFonts w:ascii="方正仿宋_GBK" w:hAnsi="宋体" w:eastAsia="方正仿宋_GBK" w:cs="宋体"/>
          <w:sz w:val="24"/>
          <w:szCs w:val="24"/>
          <w:shd w:val="clear" w:color="auto" w:fill="FFFFFF"/>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§5 投资账户信息</w:t>
      </w:r>
    </w:p>
    <w:tbl>
      <w:tblPr>
        <w:tblStyle w:val="7"/>
        <w:tblpPr w:leftFromText="180" w:rightFromText="180" w:vertAnchor="text" w:tblpXSpec="center" w:tblpY="1"/>
        <w:tblOverlap w:val="never"/>
        <w:tblW w:w="890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846"/>
        <w:gridCol w:w="1417"/>
        <w:gridCol w:w="2668"/>
        <w:gridCol w:w="1983"/>
        <w:gridCol w:w="198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84" w:hRule="atLeast"/>
          <w:jc w:val="center"/>
        </w:trPr>
        <w:tc>
          <w:tcPr>
            <w:tcW w:w="846"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序号</w:t>
            </w:r>
          </w:p>
        </w:tc>
        <w:tc>
          <w:tcPr>
            <w:tcW w:w="1417"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账户类型</w:t>
            </w:r>
          </w:p>
        </w:tc>
        <w:tc>
          <w:tcPr>
            <w:tcW w:w="266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账号</w:t>
            </w:r>
          </w:p>
        </w:tc>
        <w:tc>
          <w:tcPr>
            <w:tcW w:w="1983"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账户名称</w:t>
            </w:r>
          </w:p>
        </w:tc>
        <w:tc>
          <w:tcPr>
            <w:tcW w:w="1988" w:type="dxa"/>
            <w:vAlign w:val="center"/>
          </w:tcPr>
          <w:p>
            <w:pPr>
              <w:spacing w:before="48" w:beforeLines="20" w:after="48" w:afterLines="20"/>
              <w:jc w:val="center"/>
              <w:rPr>
                <w:rFonts w:ascii="方正仿宋简体" w:eastAsia="方正仿宋简体"/>
                <w:sz w:val="24"/>
                <w:szCs w:val="24"/>
              </w:rPr>
            </w:pPr>
            <w:r>
              <w:rPr>
                <w:rFonts w:hint="eastAsia" w:ascii="方正仿宋简体" w:eastAsia="方正仿宋简体"/>
                <w:sz w:val="24"/>
                <w:szCs w:val="24"/>
              </w:rPr>
              <w:t>开户单位</w:t>
            </w:r>
          </w:p>
        </w:tc>
      </w:tr>
      <w:tr>
        <w:trPr>
          <w:trHeight w:val="584" w:hRule="atLeast"/>
          <w:jc w:val="center"/>
        </w:trPr>
        <w:tc>
          <w:tcPr>
            <w:tcW w:w="846"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0101060000000812</w:t>
            </w:r>
          </w:p>
        </w:tc>
        <w:tc>
          <w:tcPr>
            <w:tcW w:w="1983"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南京银行南京分行南银理财鑫逸稳两年52期</w:t>
            </w:r>
          </w:p>
        </w:tc>
        <w:tc>
          <w:tcPr>
            <w:tcW w:w="1988" w:type="dxa"/>
            <w:vAlign w:val="center"/>
            <w:vAlign w:val="center"/>
          </w:tcPr>
          <w:p>
            <w:pPr>
              <w:spacing w:before="48" w:beforeLines="20" w:after="48" w:afterLines="20"/>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pPr>
        <w:spacing w:afterLines="0" w:line="360" w:lineRule="auto"/>
        <w:rPr>
          <w:rFonts w:ascii="方正仿宋_GBK" w:eastAsia="方正仿宋_GBK"/>
          <w:sz w:val="24"/>
          <w:szCs w:val="24"/>
        </w:rPr>
      </w:pPr>
    </w:p>
    <w:p>
      <w:pPr>
        <w:spacing w:before="240" w:after="72" w:line="360" w:lineRule="auto"/>
        <w:jc w:val="center"/>
        <w:rPr>
          <w:rFonts w:ascii="方正仿宋_GBK" w:eastAsia="方正仿宋_GBK"/>
          <w:b/>
          <w:sz w:val="24"/>
          <w:szCs w:val="24"/>
        </w:rPr>
      </w:pPr>
    </w:p>
    <w:p>
      <w:pPr>
        <w:spacing w:before="240" w:after="72" w:line="360" w:lineRule="auto"/>
        <w:jc w:val="center"/>
        <w:rPr>
          <w:rFonts w:ascii="方正仿宋简体" w:eastAsia="方正仿宋简体"/>
          <w:b/>
          <w:sz w:val="24"/>
          <w:szCs w:val="24"/>
        </w:rPr>
      </w:pPr>
      <w:r>
        <w:rPr>
          <w:rFonts w:hint="eastAsia" w:ascii="方正仿宋简体" w:eastAsia="方正仿宋简体"/>
          <w:b/>
          <w:sz w:val="24"/>
          <w:szCs w:val="24"/>
        </w:rPr>
        <w:t>§6 关联交易情况</w:t>
      </w:r>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报告期内，</w:t>
      </w:r>
      <w:r>
        <w:rPr>
          <w:rFonts w:hint="eastAsia" w:ascii="方正仿宋简体" w:hAnsi="宋体" w:eastAsia="方正仿宋简体" w:cs="宋体"/>
          <w:color w:val="000000"/>
          <w:kern w:val="0"/>
          <w:sz w:val="24"/>
          <w:szCs w:val="24"/>
        </w:rPr>
        <w:t>产品投资于关联方发行</w:t>
      </w:r>
      <w:r>
        <w:rPr>
          <w:rFonts w:hint="eastAsia" w:ascii="方正仿宋简体" w:hAnsi="宋体" w:eastAsia="方正仿宋简体" w:cs="宋体"/>
          <w:color w:val="000000"/>
          <w:kern w:val="0"/>
          <w:sz w:val="24"/>
          <w:szCs w:val="24"/>
          <w:lang w:eastAsia="zh-CN"/>
        </w:rPr>
        <w:t>的</w:t>
      </w:r>
      <w:r>
        <w:rPr>
          <w:rFonts w:hint="eastAsia" w:ascii="方正仿宋简体" w:hAnsi="宋体" w:eastAsia="方正仿宋简体" w:cs="宋体"/>
          <w:color w:val="000000"/>
          <w:kern w:val="0"/>
          <w:sz w:val="24"/>
          <w:szCs w:val="24"/>
        </w:rPr>
        <w:t>证券</w:t>
      </w:r>
      <w:r>
        <w:rPr>
          <w:rFonts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rPr>
        <w:t/>
      </w:r>
      <w:r>
        <w:rPr>
          <w:rFonts w:hint="eastAsia" w:ascii="方正仿宋简体" w:hAnsi="宋体" w:eastAsia="方正仿宋简体" w:cs="宋体"/>
          <w:color w:val="000000"/>
          <w:kern w:val="0"/>
          <w:sz w:val="24"/>
          <w:szCs w:val="24"/>
          <w:lang w:val="en-US" w:eastAsia="zh-CN"/>
        </w:rPr>
        <w:t/>
      </w:r>
      <w:r>
        <w:rPr>
          <w:rFonts w:ascii="方正仿宋简体" w:hAnsi="宋体" w:eastAsia="方正仿宋简体" w:cs="宋体"/>
          <w:color w:val="000000"/>
          <w:kern w:val="0"/>
          <w:sz w:val="24"/>
          <w:szCs w:val="24"/>
        </w:rPr>
        <w:t>0.00</w:t>
      </w:r>
      <w:r>
        <w:rPr>
          <w:rFonts w:hint="eastAsia" w:ascii="方正仿宋简体" w:hAnsi="宋体" w:eastAsia="方正仿宋简体" w:cs="宋体"/>
          <w:color w:val="000000"/>
          <w:kern w:val="0"/>
          <w:sz w:val="24"/>
          <w:szCs w:val="24"/>
        </w:rPr>
        <w:t>元。</w:t>
      </w:r>
      <w:bookmarkStart w:id="0" w:name="_GoBack"/>
      <w:bookmarkEnd w:id="0"/>
    </w:p>
    <w:p>
      <w:pPr>
        <w:spacing w:before="240" w:after="72" w:line="360" w:lineRule="auto"/>
        <w:ind w:firstLine="480" w:firstLineChars="200"/>
        <w:rPr>
          <w:rFonts w:hint="eastAsia" w:ascii="方正仿宋简体" w:eastAsia="方正仿宋简体"/>
          <w:sz w:val="24"/>
          <w:szCs w:val="24"/>
        </w:rPr>
      </w:pPr>
      <w:r>
        <w:rPr>
          <w:rFonts w:hint="eastAsia" w:ascii="方正仿宋简体" w:eastAsia="方正仿宋简体"/>
          <w:sz w:val="24"/>
          <w:szCs w:val="24"/>
        </w:rPr>
        <w:t>产品投资于关联方作为融资人的非标准化债权类资产业务交易金额0.00元。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产品投资于关联方承销的证券交易金额0.00元。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产品与关联方作为交易对手开展的投融资业务交易金额0.00元。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产品投资关联方作为管理人的资产管理产品交易金额0.00元。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产品支付关联方托管费0.00元，支付关联方代销费24,446.76元。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产品发生其他关联交易金额0.00元。</w:t>
      </w:r>
    </w:p>
    <w:p>
      <w:pPr>
        <w:spacing w:before="240" w:after="72" w:line="360" w:lineRule="auto"/>
        <w:ind w:firstLine="480" w:firstLineChars="200"/>
        <w:rPr>
          <w:rFonts w:ascii="方正仿宋简体" w:eastAsia="方正仿宋简体"/>
          <w:sz w:val="24"/>
          <w:szCs w:val="24"/>
        </w:rPr>
      </w:pPr>
      <w:r>
        <w:rPr>
          <w:rFonts w:hint="eastAsia" w:ascii="方正仿宋简体" w:eastAsia="方正仿宋简体"/>
          <w:sz w:val="24"/>
          <w:szCs w:val="24"/>
        </w:rPr>
        <w:t>报告期内，产品未发生重大关联交易。</w:t>
      </w:r>
    </w:p>
    <w:p>
      <w:pPr>
        <w:spacing w:before="240" w:after="72" w:line="360" w:lineRule="auto"/>
        <w:rPr>
          <w:rFonts w:ascii="方正仿宋_GBK" w:hAnsi="宋体" w:eastAsia="方正仿宋_GBK" w:cs="宋体"/>
          <w:kern w:val="0"/>
          <w:sz w:val="24"/>
          <w:szCs w:val="24"/>
        </w:rPr>
      </w:pPr>
    </w:p>
    <w:p>
      <w:pPr>
        <w:spacing w:before="240" w:after="72" w:line="360" w:lineRule="auto"/>
        <w:rPr>
          <w:rFonts w:ascii="方正仿宋_GBK" w:hAnsi="宋体" w:eastAsia="方正仿宋_GBK" w:cs="宋体"/>
          <w:kern w:val="0"/>
          <w:sz w:val="24"/>
          <w:szCs w:val="24"/>
        </w:rPr>
      </w:pPr>
    </w:p>
    <w:p>
      <w:pPr>
        <w:spacing w:before="240" w:after="72" w:line="360" w:lineRule="auto"/>
        <w:jc w:val="right"/>
        <w:rPr>
          <w:rFonts w:ascii="方正仿宋_GBK" w:eastAsia="方正仿宋_GBK"/>
          <w:b/>
          <w:sz w:val="24"/>
          <w:szCs w:val="24"/>
        </w:rPr>
      </w:pP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南银理财有限责任公司</w:t>
      </w:r>
    </w:p>
    <w:p>
      <w:pPr>
        <w:spacing w:before="240" w:after="72" w:line="360" w:lineRule="auto"/>
        <w:jc w:val="right"/>
        <w:rPr>
          <w:rFonts w:ascii="方正仿宋简体" w:eastAsia="方正仿宋简体"/>
          <w:b/>
          <w:sz w:val="24"/>
          <w:szCs w:val="24"/>
        </w:rPr>
      </w:pPr>
      <w:r>
        <w:rPr>
          <w:rFonts w:hint="eastAsia" w:ascii="方正仿宋简体" w:eastAsia="方正仿宋简体"/>
          <w:b/>
          <w:sz w:val="24"/>
          <w:szCs w:val="24"/>
        </w:rPr>
        <w:t>2024年06月30日</w:t>
      </w:r>
    </w:p>
    <w:p>
      <w:pPr>
        <w:spacing w:before="240" w:after="72" w:line="360" w:lineRule="auto"/>
        <w:rPr>
          <w:rFonts w:ascii="方正仿宋_GBK" w:eastAsia="方正仿宋_GBK"/>
          <w:sz w:val="24"/>
          <w:szCs w:val="24"/>
        </w:rPr>
      </w:pPr>
    </w:p>
    <w:p>
      <w:pPr>
        <w:spacing w:before="240" w:after="72" w:line="360" w:lineRule="auto"/>
        <w:rPr>
          <w:rFonts w:ascii="方正仿宋_GBK" w:eastAsia="方正仿宋_GBK"/>
          <w:sz w:val="24"/>
          <w:szCs w:val="24"/>
        </w:rPr>
      </w:pPr>
    </w:p>
    <w:sectPr>
      <w:headerReference r:id="rId5" w:type="first"/>
      <w:footerReference r:id="rId8" w:type="first"/>
      <w:headerReference r:id="rId3" w:type="default"/>
      <w:footerReference r:id="rId6" w:type="default"/>
      <w:headerReference r:id="rId4" w:type="even"/>
      <w:footerReference r:id="rId7" w:type="even"/>
      <w:pgSz w:w="11926" w:h="16867"/>
      <w:pgMar w:top="1418" w:right="1418" w:bottom="853" w:left="1418" w:header="851" w:footer="992" w:gutter="0"/>
      <w:cols w:space="720"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黑体简体">
    <w:altName w:val="微软雅黑"/>
    <w:panose1 w:val="00000000000000000000"/>
    <w:charset w:val="86"/>
    <w:family w:val="script"/>
    <w:pitch w:val="default"/>
    <w:sig w:usb0="00000000" w:usb1="00000000" w:usb2="00000010" w:usb3="00000000" w:csb0="00040000" w:csb1="00000000"/>
  </w:font>
  <w:font w:name="方正仿宋简体">
    <w:altName w:val="Arial Unicode MS"/>
    <w:panose1 w:val="00000000000000000000"/>
    <w:charset w:val="86"/>
    <w:family w:val="script"/>
    <w:pitch w:val="default"/>
    <w:sig w:usb0="00000000" w:usb1="00000000" w:usb2="00000010" w:usb3="00000000" w:csb0="00040000" w:csb1="00000000"/>
  </w:font>
  <w:font w:name="方正仿宋_GBK">
    <w:altName w:val="Arial Unicode MS"/>
    <w:panose1 w:val="00000000000000000000"/>
    <w:charset w:val="86"/>
    <w:family w:val="script"/>
    <w:pitch w:val="default"/>
    <w:sig w:usb0="00000000" w:usb1="00000000" w:usb2="00000010" w:usb3="00000000" w:csb0="00040000" w:csb1="00000000"/>
  </w:font>
  <w:font w:name="Calibri Light">
    <w:panose1 w:val="020F0302020204030204"/>
    <w:charset w:val="00"/>
    <w:family w:val="swiss"/>
    <w:pitch w:val="default"/>
    <w:sig w:usb0="A00002EF" w:usb1="4000207B" w:usb2="00000000" w:usb3="00000000" w:csb0="2000019F" w:csb1="00000000"/>
  </w:font>
  <w:font w:name="微软雅黑">
    <w:panose1 w:val="020B0503020204020204"/>
    <w:charset w:val="86"/>
    <w:family w:val="auto"/>
    <w:pitch w:val="default"/>
    <w:sig w:usb0="80000287" w:usb1="280F3C52" w:usb2="00000016" w:usb3="00000000" w:csb0="0004001F" w:csb1="00000000"/>
  </w:font>
  <w:font w:name="Arial Unicode MS">
    <w:panose1 w:val="020B0604020202020204"/>
    <w:charset w:val="86"/>
    <w:family w:val="auto"/>
    <w:pitch w:val="default"/>
    <w:sig w:usb0="FFFFFFFF" w:usb1="E9FFFFFF" w:usb2="0000003F" w:usb3="00000000" w:csb0="603F01FF" w:csb1="FFFF0000"/>
  </w:font>
  <w:font w:name="方正仿宋简体">
    <w:altName w:val="Arial Unicode MS"/>
    <w:panose1 w:val="00000000000000000000"/>
    <w:charset w:val="00"/>
    <w:family w:val="auto"/>
    <w:pitch w:val="default"/>
    <w:sig w:usb0="00000000" w:usb1="00000000" w:usb2="00000000" w:usb3="00000000" w:csb0="00000000"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spacing w:after="72"/>
      <w:rPr>
        <w:rStyle w:val="6"/>
      </w:rPr>
    </w:pPr>
    <w:r>
      <w:fldChar w:fldCharType="begin"/>
    </w:r>
    <w:r>
      <w:rPr>
        <w:rStyle w:val="6"/>
      </w:rPr>
      <w:instrText xml:space="preserve">PAGE  </w:instrText>
    </w:r>
    <w:r>
      <w:fldChar w:fldCharType="end"/>
    </w:r>
  </w:p>
  <w:p>
    <w:pPr>
      <w:pStyle w:val="2"/>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spacing w:after="7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 w:val="6C686480"/>
    <w:rsid w:val="6DBF574D"/>
    <w:rsid w:val="7DD408B3"/>
  </w:rsids>
  <m:mathPr>
    <m:lMargin m:val="0"/>
    <m:mathFont m:val="Cambria Math"/>
    <m:rMargin m:val="0"/>
    <m:wrapIndent m:val="1440"/>
    <m:brkBin m:val="before"/>
    <m:brkBinSub m:val="--"/>
    <m:defJc m:val="centerGroup"/>
    <m:intLim m:val="subSup"/>
    <m:naryLim m:val="undOvr"/>
    <m:smallFrac m:val=""/>
    <m:dispDef/>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iPriority="99"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Lines="30"/>
      <w:jc w:val="both"/>
    </w:pPr>
    <w:rPr>
      <w:rFonts w:ascii="Times New Roman" w:hAnsi="Times New Roman" w:eastAsia="宋体" w:cs="Times New Roman"/>
      <w:kern w:val="2"/>
      <w:sz w:val="21"/>
      <w:szCs w:val="22"/>
      <w:lang w:val="en-US" w:eastAsia="zh-CN" w:bidi="ar-SA"/>
    </w:rPr>
  </w:style>
  <w:style w:type="character" w:default="1" w:styleId="5">
    <w:name w:val="Default Paragraph Font"/>
    <w:unhideWhenUsed/>
    <w:uiPriority w:val="1"/>
  </w:style>
  <w:style w:type="table" w:default="1" w:styleId="7">
    <w:name w:val="Normal Table"/>
    <w:unhideWhenUsed/>
    <w:uiPriority w:val="99"/>
    <w:tblPr>
      <w:tblLayout w:type="fixed"/>
      <w:tblCellMar>
        <w:top w:w="0" w:type="dxa"/>
        <w:left w:w="108" w:type="dxa"/>
        <w:bottom w:w="0" w:type="dxa"/>
        <w:right w:w="108" w:type="dxa"/>
      </w:tblCellMar>
    </w:tblPr>
  </w:style>
  <w:style w:type="paragraph" w:styleId="2">
    <w:name w:val="footer"/>
    <w:basedOn w:val="1"/>
    <w:link w:val="8"/>
    <w:unhideWhenUsed/>
    <w:qFormat/>
    <w:uiPriority w:val="99"/>
    <w:pPr>
      <w:tabs>
        <w:tab w:val="center" w:pos="4153"/>
        <w:tab w:val="right" w:pos="8306"/>
      </w:tabs>
      <w:snapToGrid w:val="0"/>
      <w:jc w:val="left"/>
    </w:pPr>
    <w:rPr>
      <w:rFonts w:eastAsiaTheme="minorEastAsia"/>
      <w:sz w:val="18"/>
      <w:szCs w:val="18"/>
    </w:rPr>
  </w:style>
  <w:style w:type="paragraph" w:styleId="3">
    <w:name w:val="header"/>
    <w:basedOn w:val="1"/>
    <w:link w:val="1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100" w:beforeAutospacing="1" w:after="100" w:afterAutospacing="1"/>
      <w:jc w:val="left"/>
    </w:pPr>
    <w:rPr>
      <w:rFonts w:ascii="宋体" w:hAnsi="宋体"/>
      <w:kern w:val="0"/>
      <w:sz w:val="24"/>
      <w:szCs w:val="24"/>
    </w:rPr>
  </w:style>
  <w:style w:type="character" w:styleId="6">
    <w:name w:val="page number"/>
    <w:basedOn w:val="5"/>
    <w:unhideWhenUsed/>
    <w:qFormat/>
    <w:uiPriority w:val="99"/>
  </w:style>
  <w:style w:type="character" w:customStyle="1" w:styleId="8">
    <w:name w:val="页脚 Char"/>
    <w:link w:val="2"/>
    <w:qFormat/>
    <w:locked/>
    <w:uiPriority w:val="99"/>
    <w:rPr>
      <w:rFonts w:ascii="Times New Roman" w:hAnsi="Times New Roman" w:cs="Times New Roman"/>
      <w:sz w:val="18"/>
      <w:szCs w:val="18"/>
    </w:rPr>
  </w:style>
  <w:style w:type="character" w:customStyle="1" w:styleId="9">
    <w:name w:val="页脚 Char1"/>
    <w:basedOn w:val="5"/>
    <w:semiHidden/>
    <w:qFormat/>
    <w:uiPriority w:val="99"/>
    <w:rPr>
      <w:rFonts w:ascii="Times New Roman" w:hAnsi="Times New Roman" w:eastAsia="宋体" w:cs="Times New Roman"/>
      <w:sz w:val="18"/>
      <w:szCs w:val="18"/>
    </w:rPr>
  </w:style>
  <w:style w:type="paragraph" w:customStyle="1" w:styleId="10">
    <w:name w:val="biaoge_left"/>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1">
    <w:name w:val="zhangjie_p2"/>
    <w:basedOn w:val="1"/>
    <w:qFormat/>
    <w:uiPriority w:val="0"/>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12">
    <w:name w:val="biaoge_center"/>
    <w:basedOn w:val="1"/>
    <w:qFormat/>
    <w:uiPriority w:val="0"/>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13">
    <w:name w:val="dazhangjie"/>
    <w:basedOn w:val="1"/>
    <w:qFormat/>
    <w:uiPriority w:val="0"/>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4">
    <w:name w:val="正文1"/>
    <w:qFormat/>
    <w:uiPriority w:val="0"/>
    <w:pPr>
      <w:jc w:val="both"/>
    </w:pPr>
    <w:rPr>
      <w:rFonts w:ascii="Times New Roman" w:hAnsi="Times New Roman" w:eastAsia="宋体" w:cs="Times New Roman"/>
      <w:kern w:val="2"/>
      <w:sz w:val="21"/>
      <w:szCs w:val="21"/>
      <w:lang w:val="en-US" w:eastAsia="zh-CN" w:bidi="ar-SA"/>
    </w:rPr>
  </w:style>
  <w:style w:type="paragraph" w:customStyle="1" w:styleId="15">
    <w:name w:val="biaoge_right"/>
    <w:basedOn w:val="1"/>
    <w:qFormat/>
    <w:uiPriority w:val="0"/>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16">
    <w:name w:val="neirong"/>
    <w:basedOn w:val="1"/>
    <w:qFormat/>
    <w:uiPriority w:val="0"/>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17">
    <w:name w:val="zhangjie_p"/>
    <w:basedOn w:val="1"/>
    <w:qFormat/>
    <w:uiPriority w:val="0"/>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18">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character" w:customStyle="1" w:styleId="19">
    <w:name w:val="页眉 Char"/>
    <w:basedOn w:val="5"/>
    <w:link w:val="3"/>
    <w:qFormat/>
    <w:uiPriority w:val="99"/>
    <w:rPr>
      <w:rFonts w:ascii="Times New Roman" w:hAnsi="Times New Roman" w:eastAsia="宋体" w:cs="Times New Roman"/>
      <w:sz w:val="18"/>
      <w:szCs w:val="18"/>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10" Target="../customXml/item1.xml" Type="http://schemas.openxmlformats.org/officeDocument/2006/relationships/customXml"/><Relationship Id="rId11" Target="fontTable.xml" Type="http://schemas.openxmlformats.org/officeDocument/2006/relationships/fontTable"/><Relationship Id="rId2" Target="settings.xml" Type="http://schemas.openxmlformats.org/officeDocument/2006/relationships/settings"/><Relationship Id="rId3" Target="header1.xml" Type="http://schemas.openxmlformats.org/officeDocument/2006/relationships/header"/><Relationship Id="rId4" Target="header2.xml" Type="http://schemas.openxmlformats.org/officeDocument/2006/relationships/header"/><Relationship Id="rId5" Target="header3.xml" Type="http://schemas.openxmlformats.org/officeDocument/2006/relationships/header"/><Relationship Id="rId6" Target="footer1.xml" Type="http://schemas.openxmlformats.org/officeDocument/2006/relationships/footer"/><Relationship Id="rId7" Target="footer2.xml" Type="http://schemas.openxmlformats.org/officeDocument/2006/relationships/footer"/><Relationship Id="rId8" Target="footer3.xml" Type="http://schemas.openxmlformats.org/officeDocument/2006/relationships/footer"/><Relationship Id="rId9" Target="theme/theme1.xml" Type="http://schemas.openxmlformats.org/officeDocument/2006/relationships/them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cc</Company>
  <Pages>6</Pages>
  <Words>315</Words>
  <Characters>1797</Characters>
  <Lines>14</Lines>
  <Paragraphs>4</Paragraphs>
  <ScaleCrop>false</ScaleCrop>
  <LinksUpToDate>false</LinksUpToDate>
  <CharactersWithSpaces>2108</CharactersWithSpaces>
  <Application>WPS Office_10.8.0.6058_F1E327BC-269C-435d-A152-05C5408002CA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2024-02-05T03:10:51Z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2052-10.8.0.6058</vt:lpwstr>
  </property>
  <property fmtid="{D5CDD505-2E9C-101B-9397-08002B2CF9AE}" pid="3" name="ICV">
    <vt:lpwstr>65B57D7BDF384424A76A3B84B5FDE380</vt:lpwstr>
  </property>
</Properties>
</file>