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Z7003223000212（投资者可依据该编码在中国理财网www.chinawealth.com.cn查询理财产品相关信息）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2023年11月15日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123,529,297.00份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西部信托有限公司,国联基金管理有限公司,百瑞信托有限责任公司,中国对外经济贸易信托有限公司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45,946,402.39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39,349,647.98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41,341,481.61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截至报告期末，本产品Y60047份额净值为1.0245元，Y61047份额净值为1.0252元，Y62047份额净值为1.0258元。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35,198,983.30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27.79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30,836,746.64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XTDKX202312250003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西部信托·瑞泰5号集合资金信托计划（第2期）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30,074,942.40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百瑞微瑞嘉信1号集合资金信托计划（第1期）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28,837,600.00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22.77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百瑞微瑞嘉信1号集合资金信托计划（第1期）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0101090000000764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产品支付关联方托管费0.00元，支付关联方代销费14,729.36元。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