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397,196,165.00份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107,746,564.59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148,876,637.89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155,535,769.66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截至报告期末，本产品Y60034份额净值为1.0367元，Y61034份额净值为1.0376元，Y62034份额净值为1.0385元。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215,589,570.37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124,212,000.00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72,156,115.50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产品支付关联方托管费0.00元，支付关联方代销费72,832.64元。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