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南银理财珠联璧合鑫逸稳一年159期封闭式公募人民币理财产品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南银理财珠联璧合鑫逸稳一年159期封闭式公募人民币理财产品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Z7003224000061（投资者可依据该编码在中国理财网www.chinawealth.com.cn查询理财产品相关信息）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2024年03月27日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1,326,404,013.00份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西部信托有限公司,中信信托有限责任公司,五矿国际信托有限公司,华鑫国际信托有限公司,广东粤财信托有限公司,紫金信托有限责任公司,中国对外经济贸易信托有限公司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Y30159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887,201,767.08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Y31159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366,367,106.22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Y32159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72,400,427.57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Y33159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11,796,513.28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截至报告期末，本产品Y30159份额净值为1.0085元，Y31159份额净值为1.0088元，Y32159份额净值为1.0090元，Y33159份额净值为1.0093元。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604,018,493.15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45.15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XTDKX202404170021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西部信托·瑞龙4号集合资金信托计划第1期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200,358,946.00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14.98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XTDKX202404020001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中信信托.兴邦73号固定收益类信托计划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150,246,048.00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XTDKX202404010002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粤财信托·瑞兴102号集合资金信托计划（第1期）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150,228,534.00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XTDKX202404110021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华鑫信托·嘉盈和颜35号集合资金信托计划（第3期）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100,370,000.00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72,188,033.16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XTDKX202404170001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50,089,579.00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10,002,105.49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0.75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江苏句容投资集团有限公司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西部信托·瑞龙4号集合资金信托计划第1期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华鑫信托·嘉盈和颜35号集合资金信托计划（第3期）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江苏句容投资集团有限公司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粤财信托·瑞兴108号集合资金信托计划第1期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泰州市泰政交通投资有限公司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粤财信托·瑞兴102号集合资金信托计划（第1期）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绍兴袍江经济技术开发区投资发展集团有限公司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中信信托.兴邦73号固定收益类信托计划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0101000000000947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南京银行南京分行南银理财鑫逸稳一年159期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产品投资关联方作为管理人的资产管理产品交易金额10,000,000.00元。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产品支付关联方托管费0.00元，支付关联方代销费9,564.85元。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