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685,924,950.00份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西部信托有限公司,中粮信托有限责任公司,五矿国际信托有限公司,紫金信托有限责任公司,鑫元基金管理有限公司,安徽国元信托有限责任公司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514,107,783.03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97,431,925.04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88,760,553.22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截至报告期末，本产品Y30144份额净值为1.0207元，Y31144份额净值为1.0213元，Y32144份额净值为1.0218元。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266,507,833.01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102,860,025.00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国元·安鼎09052号资产管理（固定收益类）集合资金信托计划（第1期）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100,160,787.00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XTDKX202312190043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92,574,022.50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81,754,681.96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40,068,871.20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10,018,691.50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6,001,263.29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连云港市建工建设集团有限公司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靖江市恒通路桥工程有限公司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西部信托·瑞泰3号集合资金信托计划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常州新运城市发展集团有限公司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江苏武进绿色建筑产业投资有限公司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国元·安鼎09052号资产管理（固定收益类）集合资金信托计划（第1期）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0101090000000778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产品投资关联方作为管理人的资产管理产品交易金额6,000,000.00元。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产品支付关联方托管费0.00元，支付关联方代销费204,571.22元。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