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南银理财珠联璧合鑫逸稳一年135期封闭式公募人民币理财产品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2024年第2季度报告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南银理财珠联璧合鑫逸稳一年135期封闭式公募人民币理财产品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Z7003223000173（投资者可依据该编码在中国理财网www.chinawealth.com.cn查询理财产品相关信息）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2023年09月27日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834,022,758.00份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云南国际信托有限公司,五矿国际信托有限公司,紫金信托有限责任公司,鑫元基金管理有限公司,安徽国元信托有限责任公司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报告期（2024年04月01日 - 2024年06月30日）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Y30135</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471,175,367.10</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1.0262</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1.0262</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Y31135</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275,144,938.90</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1.0269</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1.0269</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Y32135</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109,938,689.13</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1.0277</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1.0277</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上半年经济整体呈现需求偏弱、生产旺盛的状态，对经济形成拖累的：一是地产投资增速持续下行，二是居民消费偏保守，三是基建投资进度较慢。二季度，在经济下行压力之下，4月政治局会议提出加快财政支出力度、地产去库存等，并在后续陆续出台相关政策。二季度央行多数时间缩量开展逆回购，资金面整体较为平稳，流动性分层明显缓解，央行货币政策有发力空间，但短期面临内外部因素制约。二季度利率整体呈现缓慢下行趋势，4月初受政治局会议等影响利率快速上行，随后在经济修复较慢和资金利率宽松的背景下，收益率持续回落。10年国债从4月初的2.3%下行至6月末的2.2%，信用债下行30-50bp不等，其中中低评级、长久期的品种下行幅度更大。</w:t>
        <w:br w:type="textWrapping" w:clear="all"/>
      </w:r>
      <w:r>
        <w:rPr>
          <w:rFonts w:hint="eastAsia" w:ascii="方正仿宋简体" w:eastAsia="方正仿宋简体"/>
          <w:sz w:val="24"/>
          <w:szCs w:val="24"/>
        </w:rPr>
        <w:t>  往后看，地产销售仍较为一般，居民预期普遍偏弱，地产对经济的拖累仍存，地产新政出台后效果也有限，地方债发行速度有所加快，但基建进度仍较慢，金融数据显示实体经济融资需求较弱，货币政策预计维持宽松基调。三季度基本面、供需关系对债市仍构成支撑，货币政策维持宽松仍提供了安全边际，利率预计维持震荡下行格局，在这种背景下，产品对于合意的信用债资产保持积极配置，保持适度杠杆以增厚票息收益，控制久期。</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截至报告期末，本产品Y30135份额净值为1.0262元，Y31135份额净值为1.0270元，Y32135份额净值为1.0277元。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XTDKX202310200001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云南信托-清泉114号集合资金信托计划（第1期）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352,450,000.00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41.16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ZJQTT202401040001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五矿信托-苏鑫1号集合资金信托计划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316,792,329.81</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37.00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ZZGJT202005290001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鑫元基金-鑫安利得51号</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123,865,030.67</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14.47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XTDKX202311280024</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国元·安鼎09028号资产管理（固定收益类）集合资金信托计划第3期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55,075,653.60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6.43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ZJQTT202312130001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紫金信托合盛1号集合资金信托计划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8,001,684.39</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0.93</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南京江宁水务集团有限公司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国元·安鼎09028号资产管理（固定收益类）集合资金信托计划第3期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120</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深圳智领星辰科技有限公司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云南信托-清泉114号集合资金信托计划（第1期）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0101010000000701</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南京银行南京分行南银理财鑫逸稳一年135期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产品投资关联方作为管理人的资产管理产品交易金额8,000,000.00元。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产品支付关联方托管费0.00元，支付关联方代销费252,493.43元。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2024年06月30日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