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南银理财珠联璧合鑫逸稳半年93期封闭式公募人民币理财产品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南银理财珠联璧合鑫逸稳半年93期封闭式公募人民币理财产品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Z7003224000193（投资者可依据该编码在中国理财网www.chinawealth.com.cn查询理财产品相关信息）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2024年09月25日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164,222,402.00份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100.09%</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中粮信托有限责任公司,华鑫国际信托有限公司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报告期（2024年09月25日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Y70093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87,854,864.61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Y71093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53,964,567.63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Y72093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12,235,630.08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Y73093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11,273,614.91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  后续我们将继续研判市场，积极把握市场机会，将以中性策略应对，对于合意的信用债资产保持积极配置，保持适度杠杆以增厚票息收益，控制久期，为客户提供稳定的收益回报。</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  本理财产品主要投向具有良好流动性的标准化债券资产，持仓中维持合理比例高流动性资产，杠杆处于合理水平，流动性状况较好。</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截至报告期末，本产品Y70093份额净值为1.0065元，Y71093份额净值为1.0068元，Y72093份额净值为1.0070元，Y73093份额净值为1.0073元。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84.92</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15.08</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ZJQTT202309150001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中粮信托-鼎兴6号集合资金信托计划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145,153,149.52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87.80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XTDKX202409230021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华鑫信托·嘉盈月满5号集合资金信托计划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18,099,000.00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10.95</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华鑫信托·嘉盈月满5号集合资金信托计划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0101040000001191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南京银行南京分行南银理财鑫逸稳半年93期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655.44</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