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南银理财珠联璧合鑫逸稳半年92期封闭式公募人民币理财产品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南银理财珠联璧合鑫逸稳半年92期封闭式公募人民币理财产品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125,898,959.00份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中粮信托有限责任公司,华鑫国际信托有限公司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报告期（2024年09月19日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81,743,356.12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38,307,773.44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6,696,103.30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  本理财产品主要投向具有良好流动性的标准化债券资产，持仓中维持合理比例高流动性资产，杠杆处于合理水平，流动性状况较好。</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截至报告期末，本产品Y70092份额净值为1.0066元，Y71092份额净值为1.0069元，Y72092份额净值为1.0071元。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87.82</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12.18</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88,611,908.28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37,203,500.00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0101050000001162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南京银行南京分行南银理财鑫逸稳半年92期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1,371.04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