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258,800,432.00份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西部信托有限公司,上海国际信托有限公司,中信信托有限责任公司,国联基金管理有限公司,百瑞信托有限责任公司,中国对外经济贸易信托有限公司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79,383,390.55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103,887,781.42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91,289,213.00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截至报告期末，本产品Y60036份额净值为1.0594元，Y61036份额净值为1.0608元，Y62036份额净值为1.0622元。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99,916,271.51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72,022,725.89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50,233,972.86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23,261,879.15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上海信托东亭产发信托贷款集合资金信托计划第2期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20,078,669.80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10,043,597.00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上海信托东亭产发信托贷款集合资金信托计划第2期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0101040000000667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184,349.73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