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南银理财珠联璧合鑫逸稳两年35期封闭式公募人民币理财产品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南银理财珠联璧合鑫逸稳两年35期封闭式公募人民币理财产品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Z7003223000147（投资者可依据该编码在中国理财网www.chinawealth.com.cn查询理财产品相关信息）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2023年08月16日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324,892,014.00份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100.67%</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西部信托有限公司,上海国际信托有限公司,国联基金管理有限公司,广东粤财信托有限公司,中国对外经济贸易信托有限公司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Y60035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101,872,684.06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1.0593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8,400.00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Y61035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118,470,254.74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1.0608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Y62035</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124,334,705.03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1.0622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2024年4季度，债券市场经过9月份快速调整后，市场利率重新进入下行通道，货币政策定调适度宽松，机构提前交易降准降息，同业存款自律机制推出，加速了短端利率的下行。12月机构普遍担心的政府债集中供给，也没有引发市场调整，叠加基本面数据复苏偏弱，使得利率下行基本没有遇到抵抗，机构在11月底便提前抢跑，至年末，30年国债利率下行至1.91%，10年期下行至1.67%。</w:t>
        <w:br w:type="textWrapping" w:clear="all"/>
      </w:r>
      <w:r>
        <w:rPr>
          <w:rFonts w:ascii="方正仿宋简体" w:eastAsia="方正仿宋简体" w:hint="eastAsia"/>
          <w:sz w:val="24"/>
          <w:szCs w:val="24"/>
        </w:rPr>
        <w:t>  展望一季度，基本面复苏力度仍有待验证，四季度降准落空，提高了一季度降准降息的概率。特朗普上台对华政策影响外贸出口，经济再次承压，需要财政和货币政策发力对冲。一季度较难看到利率反转的机会，如遇到调整，可继续参与长端利率。地方化债，城投退平台，使得3年内短期城投债更加稀缺，关注该品种的投资机会。</w:t>
        <w:br w:type="textWrapping" w:clear="all"/>
      </w:r>
      <w:r>
        <w:rPr>
          <w:rFonts w:ascii="方正仿宋简体" w:eastAsia="方正仿宋简体" w:hint="eastAsia"/>
          <w:sz w:val="24"/>
          <w:szCs w:val="24"/>
        </w:rPr>
        <w:t>  鑫逸稳两年期封闭式产品，今年四季度产品操作稳健偏积极。四季度债券市场呈现修复走势，利率债、存单、信用债等陆续向下突破，信用债信用利差、以及各品种利差压缩为主，债市在资金环境相对平稳宽松的背景下，交易盘、配置盘相继推动走出一波幅度较大的年末行情，不少期限品种创历史新低。四季度产品运作过程中操作转向积极，注重回撤控制的同时积极增厚收益，四季度初把握债券估值性价比相对较高的窗口期，寻找个券配置机会，提升组合静态，组合运作适度提升了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四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截至报告期末，本产品Y60035份额净值为1.0593元，Y61035份额净值为1.0608元，Y62035份额净值为1.0622元。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127,867,403.63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37.10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XTDKX202311010022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西部信托·瑞彭1号集合资金信托计划（B类）</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80,910,884.00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23.47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60,280,767.44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XTDKX202408280022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47,213,336.76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13.70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XTDKX202409120021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上海信托东亭产发信托贷款集合资金信托计划第2期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30,118,004.70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8.74</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徐州高新技术产业开发区国有资产经营有限公司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西部信托·瑞彭1号集合资金信托计划（B类）</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按年付息，到期还本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沛县城市建设投资发展集团有限公司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盐城市东亭产业发展集团有限公司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上海信托东亭产发信托贷款集合资金信托计划第2期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0101000000000645</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南京银行南京分行南银理财鑫逸稳两年35期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215,813.64</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