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南银理财珠联璧合鑫逸稳一年181期封闭式公募人民币理财产品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南银理财珠联璧合鑫逸稳一年181期封闭式公募人民币理财产品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Z7003224000163（投资者可依据该编码在中国理财网www.chinawealth.com.cn查询理财产品相关信息）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2024年08月28日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1,498,064,078.00份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100.24%</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上海国际信托有限公司,华鑫国际信托有限公司,广东粤财信托有限公司,百瑞信托有限责任公司,紫金信托有限责任公司,江苏省国际信托有限责任公司,中国对外经济贸易信托有限公司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报告期（2024年08月28日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Y30181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603,655,068.49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Y31181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427,074,702.81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Y32181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119,241,778.11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Y33181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35,689,104.19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Y34181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18,584,239.58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Y35181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12,505,648.02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Y36181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16,203,918.53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Y37181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282,188,543.01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30181份额净值为1.0109元，Y31181份额净值为1.0112元，Y32181份额净值为1.0116元，Y33181份额净值为1.0119元，Y34181份额净值为1.0119元，Y35181份额净值为1.0123元，Y36181份额净值为1.0111元，Y37181份额净值为1.0123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96.72</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3.28</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496,177,896.92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32.75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XTDKX202409190003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华鑫信托·惠盈格昱15号集合资金信托计划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268,249,623.07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XTDKX202409120002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上海信托东亭产发信托贷款集合资金信托计划第1期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200,776,960.00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13.25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XTDKX202409180001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百瑞恒益1570号集合资金信托计划（南瑞1号）第1期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167,720,897.25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华鑫信托·惠盈格昱14号集合资金信托计划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XTDKX202408290005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粤财信托·瑞兴172号集合资金信托计划（第1期）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13,060,186.62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0.86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10,006,372.23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0.66</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华鑫信托·惠盈格昱15号集合资金信托计划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华鑫信托·惠盈格昱14号集合资金信托计划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仪征市扬子文旅控股集团有限公司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阜宁县城发控股集团有限公司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百瑞恒益1570号集合资金信托计划（南瑞1号）第1期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盐城市东亭产业发展集团有限公司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上海信托东亭产发信托贷款集合资金信托计划第1期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0101060000001147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南京银行南京分行南银理财鑫逸稳一年181期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494,000,000.00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100,103.97</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