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南银理财珠联璧合鑫逸稳一年183期封闭式公募人民币理财产品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南银理财珠联璧合鑫逸稳一年183期封闭式公募人民币理财产品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Z7003224000173（投资者可依据该编码在中国理财网www.chinawealth.com.cn查询理财产品相关信息）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2024年09月11日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876,522,306.99份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100.34%</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上海国际信托有限公司,中粮信托有限责任公司,广东粤财信托有限公司,百瑞信托有限责任公司,紫金信托有限责任公司,江苏省国际信托有限责任公司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报告期（2024年09月11日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Y30183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426,006,938.38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Y31183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177,799,115.09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Y32183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88,850,355.13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Y34183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44,571,911.41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Y35183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41,451,581.82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Y36183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18,943,486.15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Y37183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88,118,492.25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截至报告期末，本产品Y30183份额净值为1.0101元，Y31183份额净值为1.0104元，Y32183份额净值为1.0107元，Y34183份额净值为1.0112元，Y35183份额净值为1.0115元，Y36183份额净值为1.0106元，Y37183份额净值为1.0112元。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96.44</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3.56</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443,952,716.12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50.12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XTDKX202409180001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百瑞恒益1570号集合资金信托计划（南瑞1号）第1期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254,092,137.75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28.69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XTDKX202409270001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粤财信托·瑞兴152号集合资金信托计划（第1期）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161,562,269.96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18.24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XTDKX202409230002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上海信托·盐城大纵湖信托贷款集合资金信托计划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10,046,153.00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XTDKX202409250001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中粮信托·南盈12号集合资金信托计划（第1期）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10,043,181.70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6,003,823.34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0.68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XTDKX202409190004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粤财信托·瑞兴167号集合资金信托计划（第1期）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1,004,214.69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0.11</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杭州西湖城市建设投资集团有限公司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粤财信托·瑞兴152号集合资金信托计划（第1期）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盐城市大纵湖湖区资源开发有限公司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上海信托·盐城大纵湖信托贷款集合资金信托计划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泰州医药城控股集团有限公司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中粮信托·南盈12号集合资金信托计划（第1期）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阜宁县城发控股集团有限公司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百瑞恒益1570号集合资金信托计划（南瑞1号）第1期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常州滨江产城建设发展有限公司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粤财信托·瑞兴167号集合资金信托计划（第1期）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0101010000001164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南京银行南京分行南银理财鑫逸稳一年183期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440,000,000.00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34,539.01</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