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820D16" w:rsidP="007016D5">
      <w:pPr>
        <w:spacing w:before="240" w:afterLines="30" w:line="360" w:lineRule="auto"/>
        <w:jc w:val="center"/>
      </w:pPr>
    </w:p>
    <w:p w:rsidR="00820D16" w:rsidRDefault="004A557F" w:rsidP="007016D5">
      <w:pPr>
        <w:spacing w:before="240" w:afterLines="30" w:line="360" w:lineRule="auto"/>
        <w:jc w:val="center"/>
        <w:rPr>
          <w:rFonts w:ascii="方正黑体简体" w:eastAsia="方正黑体简体"/>
          <w:sz w:val="36"/>
        </w:rPr>
      </w:pPr>
      <w:r>
        <w:rPr>
          <w:rFonts w:ascii="方正黑体简体" w:eastAsia="方正黑体简体"/>
          <w:sz w:val="36"/>
        </w:rPr>
        <w:t>南银理财珠联璧合鑫逸稳一年173期封闭式公募人民币理财产品</w:t>
      </w:r>
    </w:p>
    <w:p w:rsidR="00820D16" w:rsidRDefault="004A557F" w:rsidP="007016D5">
      <w:pPr>
        <w:spacing w:before="240" w:afterLines="30" w:line="360" w:lineRule="auto"/>
        <w:jc w:val="center"/>
        <w:rPr>
          <w:rFonts w:ascii="方正黑体简体" w:eastAsia="方正黑体简体" w:hAnsi="黑体"/>
          <w:sz w:val="36"/>
        </w:rPr>
      </w:pPr>
      <w:r>
        <w:rPr>
          <w:rFonts w:ascii="方正黑体简体" w:eastAsia="方正黑体简体" w:hAnsi="黑体"/>
          <w:sz w:val="36"/>
        </w:rPr>
        <w:t>2024年</w:t>
      </w:r>
      <w:r>
        <w:rPr>
          <w:rFonts w:ascii="方正黑体简体" w:eastAsia="方正黑体简体" w:hAnsi="Calibri" w:hint="eastAsia"/>
          <w:sz w:val="36"/>
        </w:rPr>
        <w:t>年度</w:t>
      </w:r>
      <w:r>
        <w:rPr>
          <w:rFonts w:ascii="方正黑体简体" w:eastAsia="方正黑体简体" w:hAnsi="黑体"/>
          <w:sz w:val="36"/>
        </w:rPr>
        <w:t>报告</w:t>
      </w: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820D16" w:rsidP="007016D5">
      <w:pPr>
        <w:spacing w:before="240" w:afterLines="30" w:line="360" w:lineRule="auto"/>
        <w:jc w:val="center"/>
        <w:rPr>
          <w:rFonts w:ascii="黑体" w:eastAsia="黑体" w:hAnsi="黑体"/>
          <w:sz w:val="36"/>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产品管理人:南银理财有限责任公司</w:t>
      </w: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产品托管人:南京银行股份有限公司</w:t>
      </w:r>
    </w:p>
    <w:p w:rsidR="00820D16" w:rsidRDefault="004A557F">
      <w:pPr>
        <w:widowControl/>
        <w:jc w:val="left"/>
        <w:rPr>
          <w:rFonts w:ascii="方正仿宋简体" w:eastAsia="方正仿宋简体"/>
          <w:sz w:val="24"/>
          <w:szCs w:val="24"/>
        </w:rPr>
      </w:pPr>
      <w:r>
        <w:rPr>
          <w:rFonts w:ascii="方正仿宋简体" w:eastAsia="方正仿宋简体"/>
          <w:sz w:val="24"/>
          <w:szCs w:val="24"/>
        </w:rPr>
        <w:br w:type="page"/>
      </w:r>
    </w:p>
    <w:p w:rsidR="00820D16" w:rsidRDefault="004A557F" w:rsidP="007016D5">
      <w:pPr>
        <w:spacing w:before="240" w:afterLines="30" w:line="360" w:lineRule="auto"/>
        <w:jc w:val="center"/>
        <w:rPr>
          <w:rFonts w:ascii="方正仿宋简体" w:eastAsia="方正仿宋简体"/>
          <w:sz w:val="24"/>
          <w:szCs w:val="24"/>
        </w:rPr>
      </w:pPr>
      <w:r>
        <w:rPr>
          <w:rFonts w:ascii="方正仿宋简体" w:eastAsia="方正仿宋简体" w:hAnsi="Calibri" w:hint="eastAsia"/>
          <w:b/>
          <w:sz w:val="24"/>
          <w:szCs w:val="24"/>
        </w:rPr>
        <w:lastRenderedPageBreak/>
        <w:t>§1 产品概况</w:t>
      </w:r>
    </w:p>
    <w:tbl>
      <w:tblPr>
        <w:tblW w:w="8902"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2724"/>
        <w:gridCol w:w="6178"/>
      </w:tblGrid>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产品全称</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南银理财珠联璧合鑫逸稳一年173期封闭式公募人民币理财产品</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产品登记编码</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Z7003224000137（投资者可依据该编码在中国理财网www.chinawealth.com.cn查询理财产品相关信息）</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产品运作方式</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封闭式净值型</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产品成立日</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2024年07月03日</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报告期末产品份额总额</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795,076,509.00份</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报告期末产品杠杆水平</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sz w:val="24"/>
                <w:szCs w:val="24"/>
              </w:rPr>
              <w:t>100.34%</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合作机构</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广东粤财信托有限公司,百瑞信托有限责任公司,紫金信托有限责任公司,重庆国际信托股份有限公司,江苏省国际信托有限责任公司,中国对外经济贸易信托有限公司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产品管理人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南银理财有限责任公司</w:t>
            </w:r>
          </w:p>
        </w:tc>
      </w:tr>
      <w:tr w:rsidR="00820D16">
        <w:tc>
          <w:tcPr>
            <w:tcW w:w="2724"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产品托管人</w:t>
            </w:r>
          </w:p>
        </w:tc>
        <w:tc>
          <w:tcPr>
            <w:tcW w:w="6178" w:type="dxa"/>
            <w:vAlign w:val="center"/>
          </w:tcPr>
          <w:p w:rsidR="00820D16" w:rsidRDefault="004A557F" w:rsidP="007016D5">
            <w:pPr>
              <w:spacing w:beforeLines="20" w:afterLines="20"/>
              <w:jc w:val="left"/>
              <w:rPr>
                <w:rFonts w:ascii="方正仿宋简体" w:eastAsia="方正仿宋简体"/>
                <w:sz w:val="24"/>
                <w:szCs w:val="24"/>
              </w:rPr>
            </w:pPr>
            <w:r>
              <w:rPr>
                <w:rFonts w:ascii="方正仿宋简体" w:eastAsia="方正仿宋简体" w:hint="eastAsia"/>
                <w:sz w:val="24"/>
                <w:szCs w:val="24"/>
              </w:rPr>
              <w:t>南京银行股份有限公司</w:t>
            </w:r>
          </w:p>
        </w:tc>
      </w:tr>
    </w:tbl>
    <w:p w:rsidR="00820D16" w:rsidRDefault="00820D16" w:rsidP="007016D5">
      <w:pPr>
        <w:spacing w:before="240" w:afterLines="30" w:line="360" w:lineRule="auto"/>
        <w:rPr>
          <w:rFonts w:ascii="方正仿宋简体" w:eastAsia="方正仿宋简体" w:hAnsi="Calibri"/>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§2  主要财务指标</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2.1 主要财务指标</w:t>
      </w:r>
    </w:p>
    <w:p w:rsidR="00820D16" w:rsidRDefault="004A557F" w:rsidP="007016D5">
      <w:pPr>
        <w:spacing w:before="240" w:afterLines="30" w:line="360" w:lineRule="auto"/>
        <w:jc w:val="right"/>
        <w:rPr>
          <w:rFonts w:ascii="方正仿宋简体" w:eastAsia="方正仿宋简体" w:cs="宋体"/>
          <w:kern w:val="0"/>
          <w:sz w:val="24"/>
          <w:szCs w:val="24"/>
        </w:rPr>
      </w:pPr>
      <w:r>
        <w:rPr>
          <w:rFonts w:ascii="方正仿宋简体" w:eastAsia="方正仿宋简体" w:cs="宋体" w:hint="eastAsia"/>
          <w:kern w:val="0"/>
          <w:sz w:val="24"/>
          <w:szCs w:val="24"/>
        </w:rPr>
        <w:t>单位：人民币元</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1413"/>
        <w:gridCol w:w="2268"/>
        <w:gridCol w:w="1701"/>
        <w:gridCol w:w="2126"/>
        <w:gridCol w:w="1394"/>
      </w:tblGrid>
      <w:tr w:rsidR="00820D16">
        <w:trPr>
          <w:trHeight w:val="755"/>
          <w:jc w:val="center"/>
        </w:trPr>
        <w:tc>
          <w:tcPr>
            <w:tcW w:w="1413" w:type="dxa"/>
            <w:vMerge w:val="restart"/>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内部销售代码</w:t>
            </w:r>
          </w:p>
        </w:tc>
        <w:tc>
          <w:tcPr>
            <w:tcW w:w="7489" w:type="dxa"/>
            <w:gridSpan w:val="4"/>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报告期（2024年07月03日 - 2024年12月31日）</w:t>
            </w:r>
          </w:p>
        </w:tc>
      </w:tr>
      <w:tr w:rsidR="00820D16">
        <w:trPr>
          <w:jc w:val="center"/>
        </w:trPr>
        <w:tc>
          <w:tcPr>
            <w:tcW w:w="1413" w:type="dxa"/>
            <w:vMerge/>
            <w:vAlign w:val="center"/>
          </w:tcPr>
          <w:p w:rsidR="00820D16" w:rsidRDefault="00820D16" w:rsidP="007016D5">
            <w:pPr>
              <w:spacing w:beforeLines="20" w:afterLines="20"/>
              <w:jc w:val="center"/>
              <w:rPr>
                <w:rFonts w:ascii="方正仿宋简体" w:eastAsia="方正仿宋简体"/>
                <w:sz w:val="24"/>
                <w:szCs w:val="24"/>
                <w:shd w:val="clear" w:color="auto" w:fill="FFFFFF"/>
              </w:rPr>
            </w:pPr>
          </w:p>
        </w:tc>
        <w:tc>
          <w:tcPr>
            <w:tcW w:w="2268"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1.期末产品最后一个市场交易日资产净值</w:t>
            </w:r>
          </w:p>
        </w:tc>
        <w:tc>
          <w:tcPr>
            <w:tcW w:w="1701"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2.期末产品最后一个市场交易日份额净值</w:t>
            </w:r>
          </w:p>
        </w:tc>
        <w:tc>
          <w:tcPr>
            <w:tcW w:w="2126"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3.期末产品最后一个市场交易日份额累计净值</w:t>
            </w:r>
          </w:p>
        </w:tc>
        <w:tc>
          <w:tcPr>
            <w:tcW w:w="1394" w:type="dxa"/>
            <w:vAlign w:val="center"/>
          </w:tcPr>
          <w:p w:rsidR="00820D16" w:rsidRDefault="004A557F" w:rsidP="007016D5">
            <w:pPr>
              <w:spacing w:beforeLines="20" w:afterLines="20"/>
              <w:jc w:val="center"/>
              <w:rPr>
                <w:rFonts w:ascii="方正仿宋简体" w:eastAsia="方正仿宋简体"/>
                <w:sz w:val="24"/>
                <w:szCs w:val="24"/>
                <w:shd w:val="clear" w:color="auto" w:fill="FFFFFF"/>
              </w:rPr>
            </w:pPr>
            <w:r>
              <w:rPr>
                <w:rFonts w:ascii="方正仿宋简体" w:eastAsia="方正仿宋简体" w:hint="eastAsia"/>
                <w:sz w:val="24"/>
                <w:szCs w:val="24"/>
                <w:shd w:val="clear" w:color="auto" w:fill="FFFFFF"/>
              </w:rPr>
              <w:t>4.其它费用</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Y30173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452,725,641.87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1.0155</w:t>
            </w:r>
          </w:p>
        </w:tc>
        <w:tc>
          <w:tcPr>
            <w:tcW w:w="1394" w:type="dxa"/>
            <w:vMerge w:val="restart"/>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0.00</w:t>
            </w: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Y31173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186,866,472.67</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Y32173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165,977,498.09</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1.0165</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r>
        <w:trPr>
          <w:jc w:val="center"/>
        </w:trPr>
        <w:tc>
          <w:tcPr>
            <w:tcW w:w="1413"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Y33173</w:t>
            </w:r>
          </w:p>
        </w:tc>
        <w:tc>
          <w:tcPr>
            <w:tcW w:w="2268"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2,096,780.13</w:t>
            </w:r>
          </w:p>
        </w:tc>
        <w:tc>
          <w:tcPr>
            <w:tcW w:w="1701"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w:t>
            </w:r>
          </w:p>
        </w:tc>
        <w:tc>
          <w:tcPr>
            <w:tcW w:w="2126" w:type="dxa"/>
            <w:vAlign w:val="center"/>
            <w:vAlign w:val="center"/>
          </w:tcPr>
          <w:p>
            <w:pPr>
              <w:spacing w:beforeLines="20" w:afterLines="20"/>
              <w:jc w:val="center"/>
              <w:textAlignment w:val="center"/>
              <w:rPr>
                <w:rFonts w:ascii="方正仿宋简体" w:eastAsia="方正仿宋简体"/>
                <w:sz w:val="24"/>
                <w:szCs w:val="24"/>
                <w:shd w:val="clear" w:color="auto" w:fill="FFFFFF"/>
              </w:rPr>
            </w:pPr>
            <w:r>
              <w:rPr>
                <w:rFonts w:ascii="方正仿宋简体" w:hAnsi="方正仿宋简体" w:cs="方正仿宋简体" w:eastAsia="方正仿宋简体"/>
                <w:sz w:val="24"/>
              </w:rPr>
              <w:t>1.0170</w:t>
            </w:r>
          </w:p>
        </w:tc>
        <w:tc>
          <w:tcPr>
            <w:tcW w:w="1394" w:type="dxa"/>
            <w:vMerge w:val="continue"/>
            <w:vAlign w:val="center"/>
            <w:vAlign w:val="center"/>
          </w:tcPr>
          <w:p>
            <w:pPr>
              <w:spacing w:beforeLines="20" w:afterLines="20"/>
              <w:jc w:val="center"/>
              <w:textAlignment w:val="center"/>
              <w:rPr>
                <w:rFonts w:ascii="方正仿宋简体" w:eastAsia="方正仿宋简体"/>
                <w:sz w:val="24"/>
                <w:szCs w:val="24"/>
                <w:shd w:val="clear" w:color="auto" w:fill="FFFFFF"/>
              </w:rPr>
            </w:pPr>
          </w:p>
        </w:tc>
      </w:tr>
    </w:tbl>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lastRenderedPageBreak/>
        <w:t>注：产品净值可能存在未扣除管理人及投资合作机构业绩报酬、赎回费等费用（如有）的情况，实际收益以兑付为准。</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§3  管理人报告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3.1 报告期内产品的投资策略和运作分析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9月中下旬随着对央行和财政政策的预期逐步升温，10Y国债收益率在迫近2%后开启反弹，反弹幅度达到20BP以上，三季度信用债相比利率债而言，走势相对较弱，主要是由于在上半年利率下行的过程中，等级利差和信用利差均压至历史极低位置，因此在8月开始信用债便开始与利率走势有所分化，截至9月末，信用利差和期限利差多数走阔20bp以上，回到相对合理的位置,国庆后,随着权益市场的风险偏好的抬升，利率呈现震荡状态，信用债继续延续调整的态势，进入11月后，市场开始预期降准降息，市场开始抢跑，10年国债利率最低下行至1.7%附近，对降息预期定价较为充分，信用利差和期限利差被动走阔。</w:t>
        <w:br w:type="textWrapping" w:clear="all"/>
      </w:r>
      <w:r>
        <w:rPr>
          <w:rFonts w:ascii="方正仿宋简体" w:eastAsia="方正仿宋简体" w:hint="eastAsia"/>
          <w:sz w:val="24"/>
          <w:szCs w:val="24"/>
        </w:rPr>
        <w:t>  展望2025年1季度，对债券市场并不悲观，从货币的角度来看，当前的经济基本面偏弱的格局并不支持货币政策出现转向，进一步降准降息值得期待。</w:t>
        <w:br w:type="textWrapping" w:clear="all"/>
      </w:r>
      <w:r>
        <w:rPr>
          <w:rFonts w:ascii="方正仿宋简体" w:eastAsia="方正仿宋简体" w:hint="eastAsia"/>
          <w:sz w:val="24"/>
          <w:szCs w:val="24"/>
        </w:rPr>
        <w:t>  操作方面，坚持稳健运作的投资理念，对于利差保护较足的信用资产积极配置，同时关注交易活跃品种的波段机会，根据对后市的研判灵活摆布资产久期与杠杆水平，获取稳健的投资回报。</w:t>
      </w:r>
      <w:r>
        <w:rPr>
          <w:rFonts w:ascii="方正仿宋简体" w:eastAsia="方正仿宋简体" w:hint="eastAsia"/>
          <w:sz w:val="24"/>
          <w:szCs w:val="24"/>
        </w:rPr>
        <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3.2 报告期内产品的流动性风险分析</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3.3 报告期内产品的业绩表现</w:t>
      </w:r>
    </w:p>
    <w:p w:rsidR="00820D16" w:rsidRDefault="004A557F" w:rsidP="007016D5">
      <w:pPr>
        <w:spacing w:before="240" w:afterLines="30" w:line="360" w:lineRule="auto"/>
        <w:ind w:firstLineChars="200" w:firstLine="480"/>
        <w:rPr>
          <w:rFonts w:ascii="方正仿宋简体" w:eastAsia="方正仿宋简体"/>
          <w:sz w:val="24"/>
          <w:szCs w:val="24"/>
        </w:rPr>
      </w:pPr>
      <w:r>
        <w:rPr>
          <w:rFonts w:ascii="方正仿宋简体" w:eastAsia="方正仿宋简体" w:hint="eastAsia"/>
          <w:sz w:val="24"/>
          <w:szCs w:val="24"/>
        </w:rPr>
        <w:t>截至报告期末，本产品Y30173份额净值为1.0155元，Y31173份额净值为1.0160元，Y32173份额净值为1.0165元，Y33173份额净值为1.0170元。</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hAnsi="Calibri"/>
          <w:b/>
          <w:sz w:val="24"/>
          <w:szCs w:val="24"/>
        </w:rPr>
      </w:pPr>
      <w:r>
        <w:rPr>
          <w:rFonts w:ascii="方正仿宋简体" w:eastAsia="方正仿宋简体" w:hAnsi="Calibri" w:hint="eastAsia"/>
          <w:b/>
          <w:sz w:val="24"/>
          <w:szCs w:val="24"/>
        </w:rPr>
        <w:t>§4  托管人报告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4.1报告期内托管人遵规守信情况声明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hint="eastAsia"/>
          <w:sz w:val="24"/>
          <w:szCs w:val="24"/>
        </w:rPr>
        <w:t>  在托管本产品的过程中，本产品托管人南京银行股份有限公司严格遵守《商业银行理财子公司管理办法》相关法律法规的规定以及产品说明书的约定，对本产品管理人在报告期内产品的投资运作进行了认真、独立的会计核算和必要的投资监督，认真履行了托管人的义务，没有从事任何损害产品份额持有人利益的行为。</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4.2 托管人对报告期内投资运作遵规守信、净值计算、利润分配等情况的说明</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t>  本托管人认为,管理人在本产品的投资运作、产品资产净值的计算、产品份额申购赎回价格的计算、产品费用开支及利润分配等问题上不存在损害产品份额持有人利益的行为；在报告期内，严格遵守了有关法律法规，在各重要方面的运作严格按照托管协议和理财产品说明书的规定进行。</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4.3 托管人对</w:t>
      </w:r>
      <w:r w:rsidR="009726DC">
        <w:rPr>
          <w:rFonts w:ascii="方正仿宋简体" w:eastAsia="方正仿宋简体" w:hint="eastAsia"/>
          <w:b/>
          <w:sz w:val="24"/>
          <w:szCs w:val="24"/>
        </w:rPr>
        <w:t>本报告期内</w:t>
      </w:r>
      <w:r>
        <w:rPr>
          <w:rFonts w:ascii="方正仿宋简体" w:eastAsia="方正仿宋简体" w:hint="eastAsia"/>
          <w:b/>
          <w:sz w:val="24"/>
          <w:szCs w:val="24"/>
        </w:rPr>
        <w:t>报告中财务信息等内容的真实、准确和完整发表意见</w:t>
      </w:r>
    </w:p>
    <w:p w:rsidR="00820D16" w:rsidRDefault="004A557F" w:rsidP="007016D5">
      <w:pPr>
        <w:spacing w:before="240" w:afterLines="30" w:line="360" w:lineRule="auto"/>
        <w:rPr>
          <w:rFonts w:ascii="方正仿宋简体" w:eastAsia="方正仿宋简体"/>
          <w:sz w:val="24"/>
          <w:szCs w:val="24"/>
        </w:rPr>
      </w:pPr>
      <w:r>
        <w:rPr>
          <w:rFonts w:ascii="方正仿宋简体" w:eastAsia="方正仿宋简体"/>
          <w:sz w:val="24"/>
          <w:szCs w:val="24"/>
        </w:rPr>
        <w:lastRenderedPageBreak/>
        <w:t>  本托管人认为，管理人的信息披露事务符合《商业银行理财子公司管理办法》及其他相关法律法规的规定，产品管理人所编制和披露的本产品报告中的财务指标、净值表现等信息真实、准确、完整，未发现有损害产品持有人利益的行为。</w:t>
      </w:r>
    </w:p>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Ansi="Calibri" w:hint="eastAsia"/>
          <w:b/>
          <w:sz w:val="24"/>
          <w:szCs w:val="24"/>
        </w:rPr>
        <w:t>§5  投资组合报告</w:t>
      </w: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5.1 报告期末产品资产组合情况</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45"/>
        <w:gridCol w:w="1861"/>
        <w:gridCol w:w="3004"/>
        <w:gridCol w:w="3292"/>
      </w:tblGrid>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资产类别</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穿透前占总资产比例</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穿透后占总资产比例</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固定收益类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r>
              <w:rPr>
                <w:rFonts w:ascii="方正仿宋简体" w:eastAsia="方正仿宋简体" w:hAnsiTheme="minorEastAsia"/>
                <w:sz w:val="24"/>
                <w:szCs w:val="24"/>
              </w:rPr>
              <w:t>%</w:t>
            </w:r>
          </w:p>
        </w:tc>
      </w:tr>
      <w:tr w:rsidR="00820D16">
        <w:trPr>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2</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权益类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3</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商品及金融衍生品类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4</w:t>
            </w:r>
          </w:p>
        </w:tc>
        <w:tc>
          <w:tcPr>
            <w:tcW w:w="1861"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混合类</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0.00</w:t>
            </w:r>
            <w:r>
              <w:rPr>
                <w:rFonts w:ascii="方正仿宋简体" w:eastAsia="方正仿宋简体" w:hAnsiTheme="minorEastAsia"/>
                <w:sz w:val="24"/>
                <w:szCs w:val="24"/>
              </w:rPr>
              <w:t>%</w:t>
            </w:r>
          </w:p>
        </w:tc>
      </w:tr>
      <w:tr w:rsidR="00820D16">
        <w:trPr>
          <w:trHeight w:val="584"/>
          <w:jc w:val="center"/>
        </w:trPr>
        <w:tc>
          <w:tcPr>
            <w:tcW w:w="745" w:type="dxa"/>
            <w:vAlign w:val="bottom"/>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5</w:t>
            </w:r>
          </w:p>
        </w:tc>
        <w:tc>
          <w:tcPr>
            <w:tcW w:w="186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合计</w:t>
            </w:r>
          </w:p>
        </w:tc>
        <w:tc>
          <w:tcPr>
            <w:tcW w:w="300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c>
          <w:tcPr>
            <w:tcW w:w="329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100.00%</w:t>
            </w:r>
          </w:p>
        </w:tc>
      </w:tr>
    </w:tbl>
    <w:p w:rsidR="00820D16" w:rsidRDefault="00820D16" w:rsidP="007016D5">
      <w:pPr>
        <w:spacing w:before="240" w:afterLines="30" w:line="360" w:lineRule="auto"/>
        <w:rPr>
          <w:rFonts w:ascii="方正仿宋简体" w:eastAsia="方正仿宋简体" w:cs="宋体"/>
          <w:kern w:val="0"/>
          <w:sz w:val="24"/>
          <w:szCs w:val="24"/>
        </w:rPr>
      </w:pPr>
    </w:p>
    <w:p w:rsidR="00820D16" w:rsidRDefault="004A557F" w:rsidP="007016D5">
      <w:pPr>
        <w:spacing w:before="240" w:afterLines="30" w:line="360" w:lineRule="auto"/>
        <w:rPr>
          <w:rFonts w:ascii="方正仿宋简体" w:eastAsia="方正仿宋简体"/>
          <w:b/>
          <w:sz w:val="24"/>
          <w:szCs w:val="24"/>
        </w:rPr>
      </w:pPr>
      <w:r>
        <w:rPr>
          <w:rFonts w:ascii="方正仿宋简体" w:eastAsia="方正仿宋简体" w:hint="eastAsia"/>
          <w:b/>
          <w:sz w:val="24"/>
          <w:szCs w:val="24"/>
        </w:rPr>
        <w:t>5.2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589"/>
        <w:gridCol w:w="1748"/>
        <w:gridCol w:w="2721"/>
        <w:gridCol w:w="2059"/>
        <w:gridCol w:w="1785"/>
      </w:tblGrid>
      <w:tr w:rsidR="00820D16">
        <w:trPr>
          <w:trHeight w:val="870"/>
          <w:jc w:val="center"/>
        </w:trPr>
        <w:tc>
          <w:tcPr>
            <w:tcW w:w="58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74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代码</w:t>
            </w:r>
          </w:p>
        </w:tc>
        <w:tc>
          <w:tcPr>
            <w:tcW w:w="2721"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名称</w:t>
            </w:r>
          </w:p>
        </w:tc>
        <w:tc>
          <w:tcPr>
            <w:tcW w:w="205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公允价值(元)</w:t>
            </w:r>
          </w:p>
        </w:tc>
        <w:tc>
          <w:tcPr>
            <w:tcW w:w="178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占产品资产净值比例（％）</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XTDKX202407040003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百瑞微瑞嘉信3号集合资金信托计划（第1期）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199,000,000.00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24.64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ZJQTT202301090001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江苏信托鑫盈3号集合资金信托计划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186,122,139.11</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23.04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ZJQTT202312130001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紫金信托合盛1号集合资金信托计划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144,103,202.78</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17.84</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XTDKX202407100022</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115,517,250.45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14.30</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ZJQTT202301110001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外贸信托-鑫华优享1号证券投资集合资金信托计划</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86,921,900.79</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10.76</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XTDKX202407220001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粤财信托·瑞兴151号集合资金信托计划（第1期）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34,143,527.94</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4.23</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7</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XTDKX202407080005</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重庆信托·创启科技集合资金信托计划第2期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25,105,320.25</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3.11</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8</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XTDKX202407080003</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重庆信托·江宁自来水集合资金信托计划第2期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16,067,390.40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1.99</w:t>
            </w:r>
          </w:p>
        </w:tc>
      </w:tr>
      <w:tr>
        <w:trPr>
          <w:jc w:val="center"/>
        </w:trPr>
        <w:tc>
          <w:tcPr>
            <w:tcW w:w="589" w:type="dxa"/>
            <w:shd w:val="clear" w:color="auto" w:fill="auto"/>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9</w:t>
            </w:r>
          </w:p>
        </w:tc>
        <w:tc>
          <w:tcPr>
            <w:tcW w:w="1748" w:type="dxa"/>
            <w:shd w:val="clear" w:color="auto" w:fill="auto"/>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XTDKX202407160001</w:t>
            </w:r>
          </w:p>
        </w:tc>
        <w:tc>
          <w:tcPr>
            <w:tcW w:w="2721"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臻鸿三号集合资金信托计划（第1期）</w:t>
            </w:r>
          </w:p>
        </w:tc>
        <w:tc>
          <w:tcPr>
            <w:tcW w:w="2059"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1,011,600.00</w:t>
            </w:r>
          </w:p>
        </w:tc>
        <w:tc>
          <w:tcPr>
            <w:tcW w:w="1785" w:type="dxa"/>
            <w:shd w:val="clear" w:color="000000" w:fill="FFFFFF"/>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0.13</w:t>
            </w:r>
          </w:p>
        </w:tc>
      </w:tr>
    </w:tbl>
    <w:p w:rsidR="00820D16" w:rsidRDefault="00820D16" w:rsidP="007016D5">
      <w:pPr>
        <w:spacing w:before="240" w:afterLines="30" w:line="360" w:lineRule="auto"/>
        <w:rPr>
          <w:rFonts w:ascii="方正仿宋简体" w:eastAsia="方正仿宋简体" w:hAnsi="宋体" w:cs="宋体"/>
          <w:sz w:val="24"/>
          <w:szCs w:val="24"/>
          <w:shd w:val="clear" w:color="auto" w:fill="FFFFFF"/>
        </w:rPr>
      </w:pPr>
    </w:p>
    <w:p w:rsidR="00820D16" w:rsidRDefault="004A557F" w:rsidP="007016D5">
      <w:pPr>
        <w:spacing w:before="240" w:afterLines="30" w:line="360" w:lineRule="auto"/>
        <w:rPr>
          <w:rFonts w:ascii="方正仿宋简体" w:eastAsia="方正仿宋简体" w:hAnsi="宋体" w:cs="宋体"/>
          <w:b/>
          <w:sz w:val="24"/>
          <w:szCs w:val="24"/>
          <w:shd w:val="clear" w:color="auto" w:fill="FFFFFF"/>
        </w:rPr>
      </w:pPr>
      <w:r>
        <w:rPr>
          <w:rFonts w:ascii="方正仿宋简体" w:eastAsia="方正仿宋简体" w:hAnsi="宋体" w:cs="宋体" w:hint="eastAsia"/>
          <w:b/>
          <w:sz w:val="24"/>
          <w:szCs w:val="24"/>
          <w:shd w:val="clear" w:color="auto" w:fill="FFFFFF"/>
        </w:rPr>
        <w:t>5.3报告期末非标准化债权类资产明细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707"/>
        <w:gridCol w:w="1272"/>
        <w:gridCol w:w="1695"/>
        <w:gridCol w:w="1412"/>
        <w:gridCol w:w="1695"/>
        <w:gridCol w:w="1272"/>
        <w:gridCol w:w="849"/>
      </w:tblGrid>
      <w:tr w:rsidR="00820D16">
        <w:trPr>
          <w:jc w:val="center"/>
        </w:trPr>
        <w:tc>
          <w:tcPr>
            <w:tcW w:w="70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融资客户</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项目名称</w:t>
            </w:r>
          </w:p>
        </w:tc>
        <w:tc>
          <w:tcPr>
            <w:tcW w:w="141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剩余融资期限（天</w:t>
            </w:r>
            <w:r>
              <w:rPr>
                <w:rFonts w:ascii="方正仿宋简体" w:eastAsia="方正仿宋简体" w:hAnsiTheme="minorEastAsia"/>
                <w:sz w:val="24"/>
                <w:szCs w:val="24"/>
              </w:rPr>
              <w:t>）</w:t>
            </w:r>
          </w:p>
        </w:tc>
        <w:tc>
          <w:tcPr>
            <w:tcW w:w="1695"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到期收益分配</w:t>
            </w:r>
          </w:p>
        </w:tc>
        <w:tc>
          <w:tcPr>
            <w:tcW w:w="1272"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交易结构</w:t>
            </w:r>
          </w:p>
        </w:tc>
        <w:tc>
          <w:tcPr>
            <w:tcW w:w="8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风险状况</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南京创启科技发展有限公司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重庆信托·创启科技集合资金信托计划第2期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南京市江宁区自来水有限公司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重庆信托·江宁自来水集合资金信托计划第2期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192</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3</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重庆市微恒科技有限公司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百瑞微瑞嘉信3号集合资金信托计划（第1期）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189</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4</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蚂蚁智信（杭州）信息技术有限公司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臻鸿三号集合资金信托计划（第1期）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198</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不规则付息</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5</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淮安市铁路投资发展有限公司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粤财信托·瑞兴151号集合资金信托计划（第1期）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207</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r>
        <w:trPr>
          <w:jc w:val="center"/>
        </w:trPr>
        <w:tc>
          <w:tcPr>
            <w:tcW w:w="70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6</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泰州市古城建设投资有限公司</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粤财信托·瑞兴133号集合资金信托计划（第1期）</w:t>
            </w:r>
          </w:p>
        </w:tc>
        <w:tc>
          <w:tcPr>
            <w:tcW w:w="141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193</w:t>
            </w:r>
          </w:p>
        </w:tc>
        <w:tc>
          <w:tcPr>
            <w:tcW w:w="1695"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按季付息，到期还本</w:t>
            </w:r>
          </w:p>
        </w:tc>
        <w:tc>
          <w:tcPr>
            <w:tcW w:w="1272"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信托贷款</w:t>
            </w:r>
          </w:p>
        </w:tc>
        <w:tc>
          <w:tcPr>
            <w:tcW w:w="8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w:t>
            </w:r>
          </w:p>
        </w:tc>
      </w:tr>
    </w:tbl>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§6投资账户信息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tblPr>
      <w:tblGrid>
        <w:gridCol w:w="968"/>
        <w:gridCol w:w="1517"/>
        <w:gridCol w:w="2449"/>
        <w:gridCol w:w="1984"/>
        <w:gridCol w:w="1984"/>
      </w:tblGrid>
      <w:tr w:rsidR="00820D16">
        <w:trPr>
          <w:trHeight w:val="705"/>
          <w:jc w:val="center"/>
        </w:trPr>
        <w:tc>
          <w:tcPr>
            <w:tcW w:w="968"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序号</w:t>
            </w:r>
          </w:p>
        </w:tc>
        <w:tc>
          <w:tcPr>
            <w:tcW w:w="1517"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账户类型</w:t>
            </w:r>
          </w:p>
        </w:tc>
        <w:tc>
          <w:tcPr>
            <w:tcW w:w="2449"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账号</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账户名称</w:t>
            </w:r>
          </w:p>
        </w:tc>
        <w:tc>
          <w:tcPr>
            <w:tcW w:w="1984" w:type="dxa"/>
            <w:vAlign w:val="center"/>
          </w:tcPr>
          <w:p w:rsidR="00820D16" w:rsidRDefault="004A557F" w:rsidP="007016D5">
            <w:pPr>
              <w:spacing w:beforeLines="20" w:afterLines="20"/>
              <w:jc w:val="center"/>
              <w:rPr>
                <w:rFonts w:ascii="方正仿宋简体" w:eastAsia="方正仿宋简体" w:hAnsiTheme="minorEastAsia"/>
                <w:sz w:val="24"/>
                <w:szCs w:val="24"/>
              </w:rPr>
            </w:pPr>
            <w:r>
              <w:rPr>
                <w:rFonts w:ascii="方正仿宋简体" w:eastAsia="方正仿宋简体" w:hAnsiTheme="minorEastAsia" w:hint="eastAsia"/>
                <w:sz w:val="24"/>
                <w:szCs w:val="24"/>
              </w:rPr>
              <w:t>开户单位</w:t>
            </w:r>
          </w:p>
        </w:tc>
      </w:tr>
      <w:tr>
        <w:trPr>
          <w:jc w:val="center"/>
        </w:trPr>
        <w:tc>
          <w:tcPr>
            <w:tcW w:w="968"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1</w:t>
            </w:r>
          </w:p>
        </w:tc>
        <w:tc>
          <w:tcPr>
            <w:tcW w:w="1517"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托管账户</w:t>
            </w:r>
          </w:p>
        </w:tc>
        <w:tc>
          <w:tcPr>
            <w:tcW w:w="2449"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0101050000001077</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南京银行南京分行南银理财鑫逸稳一年173期</w:t>
            </w:r>
          </w:p>
        </w:tc>
        <w:tc>
          <w:tcPr>
            <w:tcW w:w="1984" w:type="dxa"/>
            <w:vAlign w:val="center"/>
            <w:vAlign w:val="center"/>
          </w:tcPr>
          <w:p>
            <w:pPr>
              <w:spacing w:beforeLines="20" w:afterLines="20"/>
              <w:jc w:val="center"/>
              <w:textAlignment w:val="center"/>
              <w:rPr>
                <w:rFonts w:ascii="方正仿宋简体" w:eastAsia="方正仿宋简体" w:hAnsiTheme="minorEastAsia"/>
                <w:sz w:val="24"/>
                <w:szCs w:val="24"/>
              </w:rPr>
            </w:pPr>
            <w:r>
              <w:rPr>
                <w:rFonts w:ascii="方正仿宋简体" w:hAnsi="方正仿宋简体" w:cs="方正仿宋简体" w:eastAsia="方正仿宋简体"/>
                <w:sz w:val="24"/>
              </w:rPr>
              <w:t>南京银行</w:t>
            </w:r>
          </w:p>
        </w:tc>
      </w:tr>
    </w:tbl>
    <w:p w:rsidR="00820D16" w:rsidRDefault="00820D16" w:rsidP="007016D5">
      <w:pPr>
        <w:spacing w:before="240" w:afterLines="30" w:line="360" w:lineRule="auto"/>
        <w:rPr>
          <w:rFonts w:ascii="方正仿宋简体" w:eastAsia="方正仿宋简体"/>
          <w:sz w:val="24"/>
          <w:szCs w:val="24"/>
        </w:rPr>
      </w:pPr>
    </w:p>
    <w:p w:rsidR="00820D16" w:rsidRDefault="004A557F" w:rsidP="007016D5">
      <w:pPr>
        <w:spacing w:before="240" w:afterLines="30" w:line="360" w:lineRule="auto"/>
        <w:jc w:val="center"/>
        <w:rPr>
          <w:rFonts w:ascii="方正仿宋简体" w:eastAsia="方正仿宋简体"/>
          <w:b/>
          <w:sz w:val="24"/>
          <w:szCs w:val="24"/>
        </w:rPr>
      </w:pPr>
      <w:r>
        <w:rPr>
          <w:rFonts w:ascii="方正仿宋简体" w:eastAsia="方正仿宋简体" w:hint="eastAsia"/>
          <w:b/>
          <w:sz w:val="24"/>
          <w:szCs w:val="24"/>
        </w:rPr>
        <w:t>§7 关联交易情况</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报告期内，产品投资于关联方发行的证券</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w:t>
      </w:r>
      <w:bookmarkStart w:id="0" w:name="_GoBack"/>
      <w:bookmarkEnd w:id="0"/>
      <w:r>
        <w:rPr>
          <w:rFonts w:ascii="方正仿宋简体" w:eastAsia="方正仿宋简体" w:hAnsi="宋体" w:cs="宋体" w:hint="eastAsia"/>
          <w:color w:val="000000"/>
          <w:kern w:val="0"/>
          <w:sz w:val="24"/>
          <w:szCs w:val="24"/>
        </w:rPr>
        <w:t>关联方作为融资人的非标准化债权类资产业务交易金额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产品投资于关联方承销的证券交易金额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产品与关联方作为交易对手开展的投融资业务交易金额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产品投资关联方作为管理人的资产管理产品交易金额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143,000,000.00</w:t>
      </w:r>
      <w:r>
        <w:rPr>
          <w:rFonts w:ascii="方正仿宋简体" w:eastAsia="方正仿宋简体" w:hAnsi="宋体" w:cs="宋体" w:hint="eastAsia"/>
          <w:color w:val="000000"/>
          <w:kern w:val="0"/>
          <w:sz w:val="24"/>
          <w:szCs w:val="24"/>
        </w:rPr>
        <w:t>元。</w:t>
      </w:r>
    </w:p>
    <w:p w:rsidR="00820D16" w:rsidRDefault="007016D5"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lastRenderedPageBreak/>
        <w:t>产品</w:t>
      </w:r>
      <w:r w:rsidR="004A557F">
        <w:rPr>
          <w:rFonts w:ascii="方正仿宋简体" w:eastAsia="方正仿宋简体" w:hAnsi="宋体" w:cs="宋体" w:hint="eastAsia"/>
          <w:color w:val="000000"/>
          <w:kern w:val="0"/>
          <w:sz w:val="24"/>
          <w:szCs w:val="24"/>
        </w:rPr>
        <w:t>支付关联方托管费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r w:rsidR="004A557F">
        <w:rPr>
          <w:rFonts w:ascii="方正仿宋简体" w:eastAsia="方正仿宋简体" w:hAnsi="宋体" w:cs="宋体" w:hint="eastAsia"/>
          <w:color w:val="000000"/>
          <w:kern w:val="0"/>
          <w:sz w:val="24"/>
          <w:szCs w:val="24"/>
        </w:rPr>
        <w:t>支付关联方代销费</w:t>
      </w:r>
      <w:r w:rsidR="004A557F">
        <w:rPr>
          <w:rFonts w:ascii="方正仿宋简体" w:eastAsia="方正仿宋简体" w:hAnsi="宋体" w:cs="宋体"/>
          <w:color w:val="000000"/>
          <w:kern w:val="0"/>
          <w:sz w:val="24"/>
          <w:szCs w:val="24"/>
        </w:rPr>
        <w:t/>
      </w:r>
      <w:r w:rsidR="004A557F">
        <w:rPr>
          <w:rFonts w:ascii="方正仿宋简体" w:eastAsia="方正仿宋简体" w:hAnsi="宋体" w:cs="宋体" w:hint="eastAsia"/>
          <w:color w:val="000000"/>
          <w:kern w:val="0"/>
          <w:sz w:val="24"/>
          <w:szCs w:val="24"/>
        </w:rPr>
        <w:t/>
      </w:r>
      <w:r w:rsidR="004A557F">
        <w:rPr>
          <w:rFonts w:ascii="方正仿宋简体" w:eastAsia="方正仿宋简体" w:hAnsi="宋体" w:cs="宋体"/>
          <w:color w:val="000000"/>
          <w:kern w:val="0"/>
          <w:sz w:val="24"/>
          <w:szCs w:val="24"/>
        </w:rPr>
        <w:t>171,637.52</w:t>
      </w:r>
      <w:r w:rsidR="004A557F">
        <w:rPr>
          <w:rFonts w:ascii="方正仿宋简体" w:eastAsia="方正仿宋简体" w:hAnsi="宋体" w:cs="宋体" w:hint="eastAsia"/>
          <w:color w:val="000000"/>
          <w:kern w:val="0"/>
          <w:sz w:val="24"/>
          <w:szCs w:val="24"/>
        </w:rPr>
        <w:t>元。</w:t>
      </w:r>
    </w:p>
    <w:p w:rsidR="00820D16" w:rsidRDefault="004A557F" w:rsidP="007016D5">
      <w:pPr>
        <w:widowControl/>
        <w:shd w:val="clear" w:color="auto" w:fill="FFFFFF"/>
        <w:spacing w:before="240" w:afterLines="30" w:line="360" w:lineRule="auto"/>
        <w:ind w:firstLineChars="200" w:firstLine="480"/>
        <w:jc w:val="left"/>
        <w:rPr>
          <w:rFonts w:ascii="方正仿宋简体" w:eastAsia="方正仿宋简体" w:hAnsi="宋体" w:cs="宋体"/>
          <w:color w:val="000000"/>
          <w:kern w:val="0"/>
          <w:sz w:val="24"/>
          <w:szCs w:val="24"/>
        </w:rPr>
      </w:pPr>
      <w:r>
        <w:rPr>
          <w:rFonts w:ascii="方正仿宋简体" w:eastAsia="方正仿宋简体" w:hAnsi="宋体" w:cs="宋体" w:hint="eastAsia"/>
          <w:color w:val="000000"/>
          <w:kern w:val="0"/>
          <w:sz w:val="24"/>
          <w:szCs w:val="24"/>
        </w:rPr>
        <w:t>产品发生其他关联交易金额</w:t>
      </w:r>
      <w:r>
        <w:rPr>
          <w:rFonts w:ascii="方正仿宋简体" w:eastAsia="方正仿宋简体" w:hAnsi="宋体" w:cs="宋体"/>
          <w:color w:val="000000"/>
          <w:kern w:val="0"/>
          <w:sz w:val="24"/>
          <w:szCs w:val="24"/>
        </w:rPr>
        <w:t/>
      </w:r>
      <w:r>
        <w:rPr>
          <w:rFonts w:ascii="方正仿宋简体" w:eastAsia="方正仿宋简体" w:hAnsi="宋体" w:cs="宋体" w:hint="eastAsia"/>
          <w:color w:val="000000"/>
          <w:kern w:val="0"/>
          <w:sz w:val="24"/>
          <w:szCs w:val="24"/>
        </w:rPr>
        <w:t/>
      </w:r>
      <w:r>
        <w:rPr>
          <w:rFonts w:ascii="方正仿宋简体" w:eastAsia="方正仿宋简体" w:hAnsi="宋体" w:cs="宋体"/>
          <w:color w:val="000000"/>
          <w:kern w:val="0"/>
          <w:sz w:val="24"/>
          <w:szCs w:val="24"/>
        </w:rPr>
        <w:t>0.00</w:t>
      </w:r>
      <w:r>
        <w:rPr>
          <w:rFonts w:ascii="方正仿宋简体" w:eastAsia="方正仿宋简体" w:hAnsi="宋体" w:cs="宋体" w:hint="eastAsia"/>
          <w:color w:val="000000"/>
          <w:kern w:val="0"/>
          <w:sz w:val="24"/>
          <w:szCs w:val="24"/>
        </w:rPr>
        <w:t>元。</w:t>
      </w:r>
    </w:p>
    <w:p w:rsidR="00820D16" w:rsidRDefault="004A557F" w:rsidP="007016D5">
      <w:pPr>
        <w:spacing w:before="240" w:afterLines="30" w:line="360" w:lineRule="auto"/>
        <w:ind w:firstLineChars="200" w:firstLine="480"/>
        <w:rPr>
          <w:rFonts w:ascii="方正仿宋简体" w:eastAsia="方正仿宋简体" w:hAnsi="宋体" w:cs="宋体"/>
          <w:kern w:val="0"/>
          <w:sz w:val="24"/>
          <w:szCs w:val="24"/>
        </w:rPr>
      </w:pPr>
      <w:r>
        <w:rPr>
          <w:rFonts w:ascii="方正仿宋简体" w:eastAsia="方正仿宋简体" w:hAnsi="宋体" w:cs="宋体" w:hint="eastAsia"/>
          <w:color w:val="000000"/>
          <w:kern w:val="0"/>
          <w:sz w:val="24"/>
          <w:szCs w:val="24"/>
        </w:rPr>
        <w:t>报告期内，产品未发生重大关联交易。</w:t>
      </w: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820D16" w:rsidP="007016D5">
      <w:pPr>
        <w:spacing w:before="240" w:afterLines="30" w:line="360" w:lineRule="auto"/>
        <w:rPr>
          <w:rFonts w:ascii="方正仿宋简体" w:eastAsia="方正仿宋简体" w:hAnsi="宋体" w:cs="宋体"/>
          <w:kern w:val="0"/>
          <w:sz w:val="24"/>
          <w:szCs w:val="24"/>
        </w:rPr>
      </w:pPr>
    </w:p>
    <w:p w:rsidR="00820D16" w:rsidRDefault="004A557F" w:rsidP="007016D5">
      <w:pPr>
        <w:spacing w:before="240" w:afterLines="30" w:line="360" w:lineRule="auto"/>
        <w:jc w:val="right"/>
        <w:rPr>
          <w:rFonts w:ascii="方正仿宋简体" w:eastAsia="方正仿宋简体" w:hAnsi="Calibri"/>
          <w:b/>
          <w:sz w:val="24"/>
          <w:szCs w:val="24"/>
        </w:rPr>
      </w:pPr>
      <w:r>
        <w:rPr>
          <w:rFonts w:ascii="方正仿宋简体" w:eastAsia="方正仿宋简体" w:hAnsi="Calibri" w:hint="eastAsia"/>
          <w:b/>
          <w:sz w:val="24"/>
          <w:szCs w:val="24"/>
        </w:rPr>
        <w:t>南银理财有限责任公司</w:t>
      </w:r>
    </w:p>
    <w:p w:rsidR="00820D16" w:rsidRDefault="004A557F" w:rsidP="00E75226">
      <w:pPr>
        <w:spacing w:before="240" w:afterLines="30" w:line="360" w:lineRule="auto"/>
        <w:jc w:val="right"/>
        <w:rPr>
          <w:rFonts w:ascii="方正仿宋简体" w:eastAsia="方正仿宋简体"/>
          <w:b/>
          <w:sz w:val="24"/>
          <w:szCs w:val="24"/>
        </w:rPr>
      </w:pPr>
      <w:r>
        <w:rPr>
          <w:rFonts w:ascii="方正仿宋简体" w:eastAsia="方正仿宋简体" w:hint="eastAsia"/>
          <w:b/>
          <w:sz w:val="24"/>
          <w:szCs w:val="24"/>
        </w:rPr>
        <w:t>2024年12月31日</w:t>
      </w:r>
    </w:p>
    <w:sectPr w:rsidR="00820D16" w:rsidSect="00820D16">
      <w:headerReference w:type="default" r:id="rId7"/>
      <w:footerReference w:type="even" r:id="rId8"/>
      <w:footerReference w:type="default" r:id="rId9"/>
      <w:headerReference w:type="first" r:id="rId10"/>
      <w:pgSz w:w="11926" w:h="16867"/>
      <w:pgMar w:top="1418" w:right="1418" w:bottom="853" w:left="1418" w:header="851" w:footer="992" w:gutter="0"/>
      <w:cols w:space="720"/>
      <w:titlePg/>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131F8" w:rsidRDefault="001131F8" w:rsidP="00820D16">
      <w:r>
        <w:separator/>
      </w:r>
    </w:p>
  </w:endnote>
  <w:endnote w:type="continuationSeparator" w:id="1">
    <w:p w:rsidR="001131F8" w:rsidRDefault="001131F8" w:rsidP="00820D1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方正黑体简体">
    <w:altName w:val="Arial Unicode MS"/>
    <w:charset w:val="86"/>
    <w:family w:val="script"/>
    <w:pitch w:val="default"/>
    <w:sig w:usb0="00000000" w:usb1="0000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方正仿宋简体">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E75226">
    <w:pPr>
      <w:pStyle w:val="a6"/>
      <w:framePr w:wrap="around" w:vAnchor="text" w:hAnchor="margin" w:xAlign="center" w:y="1"/>
      <w:rPr>
        <w:rStyle w:val="aa"/>
      </w:rPr>
    </w:pPr>
    <w:r>
      <w:fldChar w:fldCharType="begin"/>
    </w:r>
    <w:r w:rsidR="004A557F">
      <w:rPr>
        <w:rStyle w:val="aa"/>
      </w:rPr>
      <w:instrText xml:space="preserve">PAGE  </w:instrText>
    </w:r>
    <w:r>
      <w:fldChar w:fldCharType="end"/>
    </w:r>
  </w:p>
  <w:p w:rsidR="00820D16" w:rsidRDefault="00820D16">
    <w:pPr>
      <w:pStyle w:val="a6"/>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6"/>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131F8" w:rsidRDefault="001131F8" w:rsidP="00820D16">
      <w:r>
        <w:separator/>
      </w:r>
    </w:p>
  </w:footnote>
  <w:footnote w:type="continuationSeparator" w:id="1">
    <w:p w:rsidR="001131F8" w:rsidRDefault="001131F8" w:rsidP="00820D1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0D16" w:rsidRDefault="00820D16">
    <w:pPr>
      <w:pStyle w:val="a7"/>
      <w:pBdr>
        <w:bottom w:val="none" w:sz="0" w:space="1"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720"/>
  <w:noPunctuationKerning/>
  <w:characterSpacingControl w:val="compressPunctuation"/>
  <w:hdrShapeDefaults>
    <o:shapedefaults v:ext="edit" spidmax="5122"/>
  </w:hdrShapeDefaults>
  <w:footnotePr>
    <w:footnote w:id="0"/>
    <w:footnote w:id="1"/>
  </w:footnotePr>
  <w:endnotePr>
    <w:endnote w:id="0"/>
    <w:endnote w:id="1"/>
  </w:endnotePr>
  <w:compat>
    <w:doNotExpandShiftReturn/>
    <w:useFELayout/>
  </w:compat>
  <w:rsids>
    <w:rsidRoot w:val="00172A27"/>
    <w:rsid w:val="000060E5"/>
    <w:rsid w:val="000234FF"/>
    <w:rsid w:val="00026D52"/>
    <w:rsid w:val="000318AA"/>
    <w:rsid w:val="000331A3"/>
    <w:rsid w:val="00034FF6"/>
    <w:rsid w:val="000379EA"/>
    <w:rsid w:val="00044BFF"/>
    <w:rsid w:val="000470C2"/>
    <w:rsid w:val="0005474A"/>
    <w:rsid w:val="0005609C"/>
    <w:rsid w:val="00061725"/>
    <w:rsid w:val="000857E6"/>
    <w:rsid w:val="0009184B"/>
    <w:rsid w:val="00095B95"/>
    <w:rsid w:val="000A3711"/>
    <w:rsid w:val="000D5066"/>
    <w:rsid w:val="000E3F60"/>
    <w:rsid w:val="000E6ACE"/>
    <w:rsid w:val="000F6191"/>
    <w:rsid w:val="00103D08"/>
    <w:rsid w:val="001131F8"/>
    <w:rsid w:val="001159BA"/>
    <w:rsid w:val="001279EA"/>
    <w:rsid w:val="00130CE8"/>
    <w:rsid w:val="0014449D"/>
    <w:rsid w:val="00152201"/>
    <w:rsid w:val="001538A9"/>
    <w:rsid w:val="00167653"/>
    <w:rsid w:val="00172A27"/>
    <w:rsid w:val="001735BA"/>
    <w:rsid w:val="00176636"/>
    <w:rsid w:val="00183C84"/>
    <w:rsid w:val="001B497D"/>
    <w:rsid w:val="001C05F9"/>
    <w:rsid w:val="001C4DF0"/>
    <w:rsid w:val="001C5395"/>
    <w:rsid w:val="001D484E"/>
    <w:rsid w:val="001E2EEA"/>
    <w:rsid w:val="001E5905"/>
    <w:rsid w:val="001E7120"/>
    <w:rsid w:val="00211F26"/>
    <w:rsid w:val="00224D9D"/>
    <w:rsid w:val="002263FC"/>
    <w:rsid w:val="002448E3"/>
    <w:rsid w:val="00247A0A"/>
    <w:rsid w:val="00266D7F"/>
    <w:rsid w:val="002678D9"/>
    <w:rsid w:val="002765C9"/>
    <w:rsid w:val="00295E85"/>
    <w:rsid w:val="002A3AE9"/>
    <w:rsid w:val="002B100D"/>
    <w:rsid w:val="002C196E"/>
    <w:rsid w:val="002D2787"/>
    <w:rsid w:val="002D2DB0"/>
    <w:rsid w:val="002D75D0"/>
    <w:rsid w:val="002E7131"/>
    <w:rsid w:val="002E795C"/>
    <w:rsid w:val="00305714"/>
    <w:rsid w:val="00313E71"/>
    <w:rsid w:val="00317582"/>
    <w:rsid w:val="00321CB7"/>
    <w:rsid w:val="003379A9"/>
    <w:rsid w:val="0035030B"/>
    <w:rsid w:val="00350ADF"/>
    <w:rsid w:val="00355623"/>
    <w:rsid w:val="0036355A"/>
    <w:rsid w:val="003658B9"/>
    <w:rsid w:val="00387F9B"/>
    <w:rsid w:val="003A0419"/>
    <w:rsid w:val="003B7361"/>
    <w:rsid w:val="003C4D3B"/>
    <w:rsid w:val="003D4B6E"/>
    <w:rsid w:val="003E09EA"/>
    <w:rsid w:val="003E412C"/>
    <w:rsid w:val="003F0AC3"/>
    <w:rsid w:val="00456251"/>
    <w:rsid w:val="004568D2"/>
    <w:rsid w:val="0046794D"/>
    <w:rsid w:val="00473E35"/>
    <w:rsid w:val="00497721"/>
    <w:rsid w:val="004A2DC3"/>
    <w:rsid w:val="004A557F"/>
    <w:rsid w:val="004B249A"/>
    <w:rsid w:val="004B5DED"/>
    <w:rsid w:val="004C1607"/>
    <w:rsid w:val="004C42AC"/>
    <w:rsid w:val="004E621E"/>
    <w:rsid w:val="004F2359"/>
    <w:rsid w:val="004F313C"/>
    <w:rsid w:val="005060AD"/>
    <w:rsid w:val="005069D8"/>
    <w:rsid w:val="0051077F"/>
    <w:rsid w:val="00522858"/>
    <w:rsid w:val="0056162E"/>
    <w:rsid w:val="00563B93"/>
    <w:rsid w:val="00567DB3"/>
    <w:rsid w:val="00567EEC"/>
    <w:rsid w:val="00594CF2"/>
    <w:rsid w:val="005B3434"/>
    <w:rsid w:val="005B3C9E"/>
    <w:rsid w:val="005B7384"/>
    <w:rsid w:val="005D5ED6"/>
    <w:rsid w:val="005E0686"/>
    <w:rsid w:val="005E2884"/>
    <w:rsid w:val="005E40C5"/>
    <w:rsid w:val="005E5050"/>
    <w:rsid w:val="005F2C7B"/>
    <w:rsid w:val="005F4D04"/>
    <w:rsid w:val="005F7DA9"/>
    <w:rsid w:val="006054F8"/>
    <w:rsid w:val="00642A8D"/>
    <w:rsid w:val="0065419A"/>
    <w:rsid w:val="00654220"/>
    <w:rsid w:val="00663B94"/>
    <w:rsid w:val="006761FB"/>
    <w:rsid w:val="00677F66"/>
    <w:rsid w:val="006A77A0"/>
    <w:rsid w:val="006B0D3E"/>
    <w:rsid w:val="006B6B67"/>
    <w:rsid w:val="006C1014"/>
    <w:rsid w:val="006D1F54"/>
    <w:rsid w:val="006E4E94"/>
    <w:rsid w:val="006F69B2"/>
    <w:rsid w:val="007016D5"/>
    <w:rsid w:val="007017D8"/>
    <w:rsid w:val="00730BEE"/>
    <w:rsid w:val="0073101E"/>
    <w:rsid w:val="00735153"/>
    <w:rsid w:val="00745421"/>
    <w:rsid w:val="00745F96"/>
    <w:rsid w:val="00774E0A"/>
    <w:rsid w:val="00782F29"/>
    <w:rsid w:val="007A4219"/>
    <w:rsid w:val="007B08DF"/>
    <w:rsid w:val="007E0B6E"/>
    <w:rsid w:val="007E4637"/>
    <w:rsid w:val="007E68A3"/>
    <w:rsid w:val="00800690"/>
    <w:rsid w:val="0080200C"/>
    <w:rsid w:val="00805821"/>
    <w:rsid w:val="00814110"/>
    <w:rsid w:val="00820D16"/>
    <w:rsid w:val="0082561A"/>
    <w:rsid w:val="008273FB"/>
    <w:rsid w:val="00846B2E"/>
    <w:rsid w:val="0085663C"/>
    <w:rsid w:val="00870717"/>
    <w:rsid w:val="008768AB"/>
    <w:rsid w:val="008870FD"/>
    <w:rsid w:val="008904CC"/>
    <w:rsid w:val="008926F7"/>
    <w:rsid w:val="008A7510"/>
    <w:rsid w:val="008C78BD"/>
    <w:rsid w:val="008D1B73"/>
    <w:rsid w:val="008F099C"/>
    <w:rsid w:val="008F0FA3"/>
    <w:rsid w:val="008F169F"/>
    <w:rsid w:val="008F1AB3"/>
    <w:rsid w:val="00900D90"/>
    <w:rsid w:val="0092772F"/>
    <w:rsid w:val="009354D6"/>
    <w:rsid w:val="00950650"/>
    <w:rsid w:val="009566E6"/>
    <w:rsid w:val="00956754"/>
    <w:rsid w:val="009679B0"/>
    <w:rsid w:val="00970A98"/>
    <w:rsid w:val="009726DC"/>
    <w:rsid w:val="00977E89"/>
    <w:rsid w:val="00982592"/>
    <w:rsid w:val="009A4E58"/>
    <w:rsid w:val="009A4E79"/>
    <w:rsid w:val="009B1695"/>
    <w:rsid w:val="009B2EEF"/>
    <w:rsid w:val="009C6A99"/>
    <w:rsid w:val="009C781F"/>
    <w:rsid w:val="009D5296"/>
    <w:rsid w:val="009E5F4C"/>
    <w:rsid w:val="009E6170"/>
    <w:rsid w:val="009F1FD4"/>
    <w:rsid w:val="009F4338"/>
    <w:rsid w:val="00A204A0"/>
    <w:rsid w:val="00A24362"/>
    <w:rsid w:val="00A4484F"/>
    <w:rsid w:val="00A66D8E"/>
    <w:rsid w:val="00A748DB"/>
    <w:rsid w:val="00A76D4B"/>
    <w:rsid w:val="00A77C47"/>
    <w:rsid w:val="00A9119C"/>
    <w:rsid w:val="00A93E3C"/>
    <w:rsid w:val="00A94A56"/>
    <w:rsid w:val="00AA4549"/>
    <w:rsid w:val="00AA5B04"/>
    <w:rsid w:val="00AC5144"/>
    <w:rsid w:val="00B030BC"/>
    <w:rsid w:val="00B13014"/>
    <w:rsid w:val="00B17559"/>
    <w:rsid w:val="00B23430"/>
    <w:rsid w:val="00B23E1D"/>
    <w:rsid w:val="00B33978"/>
    <w:rsid w:val="00B33B19"/>
    <w:rsid w:val="00B404E6"/>
    <w:rsid w:val="00B4360D"/>
    <w:rsid w:val="00B43E89"/>
    <w:rsid w:val="00B61EA9"/>
    <w:rsid w:val="00B670D1"/>
    <w:rsid w:val="00B74DCA"/>
    <w:rsid w:val="00BC0E14"/>
    <w:rsid w:val="00BC3903"/>
    <w:rsid w:val="00BD66CD"/>
    <w:rsid w:val="00BE47E0"/>
    <w:rsid w:val="00BF3D9D"/>
    <w:rsid w:val="00BF75C8"/>
    <w:rsid w:val="00C05F9C"/>
    <w:rsid w:val="00C1762E"/>
    <w:rsid w:val="00C20F36"/>
    <w:rsid w:val="00C25123"/>
    <w:rsid w:val="00C2582A"/>
    <w:rsid w:val="00C30A48"/>
    <w:rsid w:val="00C375A7"/>
    <w:rsid w:val="00C44DFE"/>
    <w:rsid w:val="00C62DF8"/>
    <w:rsid w:val="00C640FB"/>
    <w:rsid w:val="00C86023"/>
    <w:rsid w:val="00C94EBA"/>
    <w:rsid w:val="00CA6258"/>
    <w:rsid w:val="00CB054E"/>
    <w:rsid w:val="00CC52D7"/>
    <w:rsid w:val="00CC5E0C"/>
    <w:rsid w:val="00CD79D3"/>
    <w:rsid w:val="00CE4DED"/>
    <w:rsid w:val="00CF7900"/>
    <w:rsid w:val="00D17916"/>
    <w:rsid w:val="00D23AB6"/>
    <w:rsid w:val="00D50309"/>
    <w:rsid w:val="00D51AA9"/>
    <w:rsid w:val="00D55A00"/>
    <w:rsid w:val="00D56204"/>
    <w:rsid w:val="00D56691"/>
    <w:rsid w:val="00D7264A"/>
    <w:rsid w:val="00D7267C"/>
    <w:rsid w:val="00D84E43"/>
    <w:rsid w:val="00D870DF"/>
    <w:rsid w:val="00DA30A0"/>
    <w:rsid w:val="00DB0C2F"/>
    <w:rsid w:val="00DB3BF6"/>
    <w:rsid w:val="00DB56A2"/>
    <w:rsid w:val="00DC31CC"/>
    <w:rsid w:val="00DC728A"/>
    <w:rsid w:val="00DD2F3C"/>
    <w:rsid w:val="00DD65B5"/>
    <w:rsid w:val="00DF5BDF"/>
    <w:rsid w:val="00DF6907"/>
    <w:rsid w:val="00E1059D"/>
    <w:rsid w:val="00E11B2F"/>
    <w:rsid w:val="00E155DF"/>
    <w:rsid w:val="00E246E1"/>
    <w:rsid w:val="00E314CE"/>
    <w:rsid w:val="00E514EB"/>
    <w:rsid w:val="00E52823"/>
    <w:rsid w:val="00E52B10"/>
    <w:rsid w:val="00E600D0"/>
    <w:rsid w:val="00E7192D"/>
    <w:rsid w:val="00E75226"/>
    <w:rsid w:val="00E944FA"/>
    <w:rsid w:val="00E960DD"/>
    <w:rsid w:val="00E9797A"/>
    <w:rsid w:val="00EB0DB4"/>
    <w:rsid w:val="00EE0436"/>
    <w:rsid w:val="00EE5457"/>
    <w:rsid w:val="00F41324"/>
    <w:rsid w:val="00F57C12"/>
    <w:rsid w:val="00F609FD"/>
    <w:rsid w:val="00F64BD9"/>
    <w:rsid w:val="00F7052D"/>
    <w:rsid w:val="00F771E3"/>
    <w:rsid w:val="00F8162C"/>
    <w:rsid w:val="00F859AB"/>
    <w:rsid w:val="00F950D0"/>
    <w:rsid w:val="00FA0110"/>
    <w:rsid w:val="00FA2C26"/>
    <w:rsid w:val="00FC3509"/>
    <w:rsid w:val="00FD1F12"/>
    <w:rsid w:val="00FD412B"/>
    <w:rsid w:val="00FF26C8"/>
    <w:rsid w:val="016D581F"/>
    <w:rsid w:val="030F2BA7"/>
    <w:rsid w:val="03785193"/>
    <w:rsid w:val="04240CEE"/>
    <w:rsid w:val="065551D3"/>
    <w:rsid w:val="06C37561"/>
    <w:rsid w:val="0A236A5A"/>
    <w:rsid w:val="10992483"/>
    <w:rsid w:val="111D4539"/>
    <w:rsid w:val="13297F9C"/>
    <w:rsid w:val="134727C6"/>
    <w:rsid w:val="141A5102"/>
    <w:rsid w:val="15FE575C"/>
    <w:rsid w:val="19225CD9"/>
    <w:rsid w:val="1ADC05C7"/>
    <w:rsid w:val="1C4F5F81"/>
    <w:rsid w:val="1E911FB2"/>
    <w:rsid w:val="20F325AF"/>
    <w:rsid w:val="216F6F5C"/>
    <w:rsid w:val="22D04645"/>
    <w:rsid w:val="22E23E75"/>
    <w:rsid w:val="2555668E"/>
    <w:rsid w:val="25AF3A81"/>
    <w:rsid w:val="26FD4196"/>
    <w:rsid w:val="28CD1EA7"/>
    <w:rsid w:val="29F7636C"/>
    <w:rsid w:val="2A2232BA"/>
    <w:rsid w:val="32955A2A"/>
    <w:rsid w:val="32AE1BB2"/>
    <w:rsid w:val="36341C31"/>
    <w:rsid w:val="368076E6"/>
    <w:rsid w:val="378F5AE0"/>
    <w:rsid w:val="37F709A6"/>
    <w:rsid w:val="39E872E9"/>
    <w:rsid w:val="3ABE1FB8"/>
    <w:rsid w:val="3C753CC7"/>
    <w:rsid w:val="3F2C3B54"/>
    <w:rsid w:val="40990310"/>
    <w:rsid w:val="459870AF"/>
    <w:rsid w:val="45ED49CE"/>
    <w:rsid w:val="46F0109E"/>
    <w:rsid w:val="47475A63"/>
    <w:rsid w:val="4E276A76"/>
    <w:rsid w:val="509017BA"/>
    <w:rsid w:val="50C71C9D"/>
    <w:rsid w:val="51482FC3"/>
    <w:rsid w:val="52830253"/>
    <w:rsid w:val="541C469D"/>
    <w:rsid w:val="5BE61B5E"/>
    <w:rsid w:val="5EB6743D"/>
    <w:rsid w:val="602D020F"/>
    <w:rsid w:val="64C67B5C"/>
    <w:rsid w:val="66F47EBC"/>
    <w:rsid w:val="67A06E73"/>
    <w:rsid w:val="681903E9"/>
    <w:rsid w:val="68823415"/>
    <w:rsid w:val="6898111C"/>
    <w:rsid w:val="6A485270"/>
    <w:rsid w:val="6D05415D"/>
    <w:rsid w:val="6DB5108E"/>
    <w:rsid w:val="6EB04486"/>
    <w:rsid w:val="6F66394D"/>
    <w:rsid w:val="73193673"/>
    <w:rsid w:val="74543F24"/>
    <w:rsid w:val="74BE328D"/>
    <w:rsid w:val="76EB68DB"/>
    <w:rsid w:val="780E0FCF"/>
    <w:rsid w:val="7E72470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semiHidden="0" w:qFormat="1"/>
    <w:lsdException w:name="annotation text" w:semiHidden="0" w:qFormat="1"/>
    <w:lsdException w:name="header" w:semiHidden="0" w:qFormat="1"/>
    <w:lsdException w:name="footer" w:semiHidden="0" w:qFormat="1"/>
    <w:lsdException w:name="caption" w:uiPriority="35" w:qFormat="1"/>
    <w:lsdException w:name="footnote reference" w:semiHidden="0" w:qFormat="1"/>
    <w:lsdException w:name="annotation reference" w:semiHidden="0" w:qFormat="1"/>
    <w:lsdException w:name="page number" w:semiHidden="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20D16"/>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820D16"/>
    <w:rPr>
      <w:b/>
      <w:bCs/>
    </w:rPr>
  </w:style>
  <w:style w:type="paragraph" w:styleId="a4">
    <w:name w:val="annotation text"/>
    <w:basedOn w:val="a"/>
    <w:link w:val="Char0"/>
    <w:uiPriority w:val="99"/>
    <w:unhideWhenUsed/>
    <w:qFormat/>
    <w:rsid w:val="00820D16"/>
    <w:pPr>
      <w:jc w:val="left"/>
    </w:pPr>
  </w:style>
  <w:style w:type="paragraph" w:styleId="a5">
    <w:name w:val="Balloon Text"/>
    <w:basedOn w:val="a"/>
    <w:link w:val="Char1"/>
    <w:uiPriority w:val="99"/>
    <w:unhideWhenUsed/>
    <w:qFormat/>
    <w:rsid w:val="00820D16"/>
    <w:rPr>
      <w:sz w:val="18"/>
      <w:szCs w:val="18"/>
    </w:rPr>
  </w:style>
  <w:style w:type="paragraph" w:styleId="a6">
    <w:name w:val="footer"/>
    <w:basedOn w:val="a"/>
    <w:link w:val="Char2"/>
    <w:uiPriority w:val="99"/>
    <w:unhideWhenUsed/>
    <w:qFormat/>
    <w:rsid w:val="00820D16"/>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820D16"/>
    <w:pPr>
      <w:pBdr>
        <w:bottom w:val="single" w:sz="6" w:space="1" w:color="auto"/>
      </w:pBdr>
      <w:tabs>
        <w:tab w:val="center" w:pos="4153"/>
        <w:tab w:val="right" w:pos="8306"/>
      </w:tabs>
      <w:snapToGrid w:val="0"/>
      <w:jc w:val="center"/>
    </w:pPr>
    <w:rPr>
      <w:sz w:val="18"/>
      <w:szCs w:val="18"/>
    </w:rPr>
  </w:style>
  <w:style w:type="paragraph" w:styleId="a8">
    <w:name w:val="footnote text"/>
    <w:basedOn w:val="a"/>
    <w:uiPriority w:val="99"/>
    <w:unhideWhenUsed/>
    <w:qFormat/>
    <w:rsid w:val="00820D16"/>
    <w:pPr>
      <w:snapToGrid w:val="0"/>
      <w:jc w:val="left"/>
    </w:pPr>
    <w:rPr>
      <w:sz w:val="18"/>
    </w:rPr>
  </w:style>
  <w:style w:type="paragraph" w:styleId="a9">
    <w:name w:val="Normal (Web)"/>
    <w:basedOn w:val="a"/>
    <w:qFormat/>
    <w:rsid w:val="00820D16"/>
    <w:pPr>
      <w:widowControl/>
      <w:spacing w:before="100" w:beforeAutospacing="1" w:after="100" w:afterAutospacing="1"/>
      <w:jc w:val="left"/>
    </w:pPr>
    <w:rPr>
      <w:rFonts w:ascii="宋体" w:hAnsi="宋体"/>
      <w:kern w:val="0"/>
      <w:sz w:val="24"/>
      <w:szCs w:val="24"/>
    </w:rPr>
  </w:style>
  <w:style w:type="character" w:styleId="aa">
    <w:name w:val="page number"/>
    <w:basedOn w:val="a0"/>
    <w:uiPriority w:val="99"/>
    <w:unhideWhenUsed/>
    <w:qFormat/>
    <w:rsid w:val="00820D16"/>
  </w:style>
  <w:style w:type="character" w:styleId="ab">
    <w:name w:val="annotation reference"/>
    <w:uiPriority w:val="99"/>
    <w:unhideWhenUsed/>
    <w:qFormat/>
    <w:rsid w:val="00820D16"/>
    <w:rPr>
      <w:sz w:val="21"/>
      <w:szCs w:val="21"/>
    </w:rPr>
  </w:style>
  <w:style w:type="character" w:styleId="ac">
    <w:name w:val="footnote reference"/>
    <w:uiPriority w:val="99"/>
    <w:unhideWhenUsed/>
    <w:qFormat/>
    <w:rsid w:val="00820D16"/>
    <w:rPr>
      <w:vertAlign w:val="superscript"/>
    </w:rPr>
  </w:style>
  <w:style w:type="character" w:customStyle="1" w:styleId="Char1">
    <w:name w:val="批注框文本 Char"/>
    <w:link w:val="a5"/>
    <w:uiPriority w:val="99"/>
    <w:semiHidden/>
    <w:qFormat/>
    <w:rsid w:val="00820D16"/>
    <w:rPr>
      <w:kern w:val="2"/>
      <w:sz w:val="18"/>
      <w:szCs w:val="18"/>
    </w:rPr>
  </w:style>
  <w:style w:type="character" w:customStyle="1" w:styleId="Char3">
    <w:name w:val="页眉 Char"/>
    <w:link w:val="a7"/>
    <w:uiPriority w:val="99"/>
    <w:semiHidden/>
    <w:qFormat/>
    <w:locked/>
    <w:rsid w:val="00820D16"/>
    <w:rPr>
      <w:rFonts w:ascii="Times New Roman" w:hAnsi="Times New Roman" w:cs="Times New Roman" w:hint="default"/>
      <w:sz w:val="18"/>
      <w:szCs w:val="18"/>
    </w:rPr>
  </w:style>
  <w:style w:type="character" w:customStyle="1" w:styleId="Char">
    <w:name w:val="批注主题 Char"/>
    <w:link w:val="a3"/>
    <w:uiPriority w:val="99"/>
    <w:semiHidden/>
    <w:qFormat/>
    <w:rsid w:val="00820D16"/>
    <w:rPr>
      <w:b/>
      <w:bCs/>
      <w:kern w:val="2"/>
      <w:sz w:val="21"/>
      <w:szCs w:val="22"/>
    </w:rPr>
  </w:style>
  <w:style w:type="character" w:customStyle="1" w:styleId="Char2">
    <w:name w:val="页脚 Char"/>
    <w:link w:val="a6"/>
    <w:uiPriority w:val="99"/>
    <w:semiHidden/>
    <w:qFormat/>
    <w:locked/>
    <w:rsid w:val="00820D16"/>
    <w:rPr>
      <w:rFonts w:ascii="Times New Roman" w:hAnsi="Times New Roman" w:cs="Times New Roman" w:hint="default"/>
      <w:sz w:val="18"/>
      <w:szCs w:val="18"/>
    </w:rPr>
  </w:style>
  <w:style w:type="character" w:customStyle="1" w:styleId="Char0">
    <w:name w:val="批注文字 Char"/>
    <w:link w:val="a4"/>
    <w:uiPriority w:val="99"/>
    <w:qFormat/>
    <w:rsid w:val="00820D16"/>
    <w:rPr>
      <w:kern w:val="2"/>
      <w:sz w:val="21"/>
      <w:szCs w:val="22"/>
    </w:rPr>
  </w:style>
  <w:style w:type="paragraph" w:customStyle="1" w:styleId="zhongyaotishi">
    <w:name w:val="zhongyaotishi"/>
    <w:basedOn w:val="a"/>
    <w:qFormat/>
    <w:rsid w:val="00820D16"/>
    <w:pPr>
      <w:widowControl/>
      <w:autoSpaceDE w:val="0"/>
      <w:autoSpaceDN w:val="0"/>
      <w:adjustRightInd w:val="0"/>
      <w:spacing w:before="30" w:line="288" w:lineRule="auto"/>
      <w:ind w:left="15" w:firstLine="482"/>
      <w:jc w:val="left"/>
    </w:pPr>
    <w:rPr>
      <w:rFonts w:ascii="宋体" w:hAnsi="宋体" w:cs="宋体"/>
      <w:kern w:val="0"/>
      <w:sz w:val="24"/>
      <w:szCs w:val="24"/>
    </w:rPr>
  </w:style>
  <w:style w:type="paragraph" w:customStyle="1" w:styleId="zhangjiep">
    <w:name w:val="zhangjie_p"/>
    <w:basedOn w:val="a"/>
    <w:qFormat/>
    <w:rsid w:val="00820D16"/>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biaogeright1">
    <w:name w:val="biaoge_right1"/>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right">
    <w:name w:val="biaoge_right"/>
    <w:basedOn w:val="a"/>
    <w:qFormat/>
    <w:rsid w:val="00820D16"/>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biaogecenter">
    <w:name w:val="biaoge_center"/>
    <w:basedOn w:val="a"/>
    <w:qFormat/>
    <w:rsid w:val="00820D16"/>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msonormalfy">
    <w:name w:val="msonormalfy"/>
    <w:qFormat/>
    <w:rsid w:val="00820D16"/>
    <w:pPr>
      <w:widowControl w:val="0"/>
      <w:jc w:val="center"/>
    </w:pPr>
    <w:rPr>
      <w:kern w:val="2"/>
      <w:sz w:val="33"/>
      <w:szCs w:val="22"/>
    </w:rPr>
  </w:style>
  <w:style w:type="paragraph" w:customStyle="1" w:styleId="biaogeleft">
    <w:name w:val="biaoge_left"/>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dazhangjie">
    <w:name w:val="dazhangjie"/>
    <w:basedOn w:val="a"/>
    <w:qFormat/>
    <w:rsid w:val="00820D16"/>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zhangjiep2">
    <w:name w:val="zhangjie_p2"/>
    <w:basedOn w:val="a"/>
    <w:qFormat/>
    <w:rsid w:val="00820D16"/>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hide">
    <w:name w:val="hide"/>
    <w:basedOn w:val="a"/>
    <w:qFormat/>
    <w:rsid w:val="00820D16"/>
    <w:pPr>
      <w:widowControl/>
      <w:spacing w:before="100" w:beforeAutospacing="1" w:after="100" w:afterAutospacing="1"/>
      <w:jc w:val="left"/>
    </w:pPr>
    <w:rPr>
      <w:rFonts w:ascii="宋体" w:hAnsi="宋体" w:cs="宋体"/>
      <w:vanish/>
      <w:kern w:val="0"/>
      <w:sz w:val="24"/>
      <w:szCs w:val="24"/>
    </w:rPr>
  </w:style>
  <w:style w:type="paragraph" w:customStyle="1" w:styleId="show">
    <w:name w:val="show"/>
    <w:basedOn w:val="a"/>
    <w:qFormat/>
    <w:rsid w:val="00820D16"/>
    <w:pPr>
      <w:widowControl/>
      <w:spacing w:before="100" w:beforeAutospacing="1" w:after="100" w:afterAutospacing="1"/>
      <w:jc w:val="left"/>
    </w:pPr>
    <w:rPr>
      <w:rFonts w:ascii="宋体" w:hAnsi="宋体" w:cs="宋体"/>
      <w:kern w:val="0"/>
      <w:sz w:val="24"/>
      <w:szCs w:val="24"/>
    </w:rPr>
  </w:style>
  <w:style w:type="paragraph" w:customStyle="1" w:styleId="msonormalnone">
    <w:name w:val="msonormal_none"/>
    <w:qFormat/>
    <w:rsid w:val="00820D16"/>
    <w:pPr>
      <w:widowControl w:val="0"/>
    </w:pPr>
    <w:rPr>
      <w:kern w:val="2"/>
      <w:sz w:val="21"/>
      <w:szCs w:val="22"/>
    </w:rPr>
  </w:style>
  <w:style w:type="paragraph" w:customStyle="1" w:styleId="neirong">
    <w:name w:val="neirong"/>
    <w:basedOn w:val="a"/>
    <w:qFormat/>
    <w:rsid w:val="00820D16"/>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
    <w:name w:val="正文1"/>
    <w:qFormat/>
    <w:rsid w:val="00820D16"/>
    <w:pPr>
      <w:jc w:val="both"/>
    </w:pPr>
    <w:rPr>
      <w:kern w:val="2"/>
      <w:sz w:val="21"/>
      <w:szCs w:val="21"/>
    </w:rPr>
  </w:style>
  <w:style w:type="paragraph" w:customStyle="1" w:styleId="Default">
    <w:name w:val="Default"/>
    <w:qFormat/>
    <w:rsid w:val="00820D16"/>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header2.xml" Type="http://schemas.openxmlformats.org/officeDocument/2006/relationships/header"/><Relationship Id="rId11" Target="fontTable.xml" Type="http://schemas.openxmlformats.org/officeDocument/2006/relationships/fontTable"/><Relationship Id="rId12"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footer1.xml" Type="http://schemas.openxmlformats.org/officeDocument/2006/relationships/footer"/><Relationship Id="rId9" Target="footer2.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347</Words>
  <Characters>1984</Characters>
  <Application>Microsoft Office Word</Application>
  <DocSecurity>0</DocSecurity>
  <Lines>16</Lines>
  <Paragraphs>4</Paragraphs>
  <ScaleCrop>false</ScaleCrop>
  <Company>微软中国</Company>
  <LinksUpToDate>false</LinksUpToDate>
  <CharactersWithSpaces>2327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2022-08-03T07:54:00Z</dcterms:created>
  <dc:creator>总行金融市场部本币投资交易部梅浩超</dc:creator>
  <cp:lastModifiedBy>yytx</cp:lastModifiedBy>
  <cp:lastPrinted>2019-09-11T00:56:00Z</cp:lastPrinted>
  <dcterms:modified xsi:type="dcterms:W3CDTF">2025-05-07T01:54:00Z</dcterms:modified>
  <cp:revision>42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