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南银理财珠联璧合鑫逸稳一年170期（长三角绿色金融主题）封闭式公募人民币理财产品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南银理财珠联璧合鑫逸稳一年170期（长三角绿色金融主题）封闭式公募人民币理财产品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Z7003224000109（投资者可依据该编码在中国理财网www.chinawealth.com.cn查询理财产品相关信息）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2024年06月12日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760,739,258.00份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云南国际信托有限公司,华鑫国际信托有限公司,国投泰康信托有限公司,广东粤财信托有限公司,中国对外经济贸易信托有限公司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报告期（2024年06月12日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335,037,915.04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551.99</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194,885,870.82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192,555,698.17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Y33170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52,170,590.93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截至报告期末，本产品Y30170份额净值为1.0177元，Y31170份额净值为1.0183元，Y32170份额净值为1.0188元，Y33170份额净值为1.0194元。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221,031,832.63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XTDKX202406200021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云南信托-清泉113号集合资金信托计划第1期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203,200,000.00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156,401,050.12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93,518,000.00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XTDKX202407100022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83,373,319.89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114809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20鼎通G1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15,121,740.00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0101070000001038</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南京银行南京分行南银理财鑫逸稳一年170期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86,307.34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