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南银理财珠联璧合鑫逸稳一年168期封闭式公募人民币理财产品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南银理财珠联璧合鑫逸稳一年168期封闭式公募人民币理财产品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Z7003224000101（投资者可依据该编码在中国理财网www.chinawealth.com.cn查询理财产品相关信息）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2024年05月29日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2,552,215,562.00份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100.38%</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中粮信托有限责任公司,广东粤财信托有限公司,紫金信托有限责任公司,重庆国际信托股份有限公司,江苏省国际信托有限责任公司,中国对外经济贸易信托有限公司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报告期（2024年05月29日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Y30168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1,279,045,017.76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Y31168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957,489,515.23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Y32168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162,607,297.64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Y33168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204,285,099.58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截至报告期末，本产品Y30168份额净值为1.0196元，Y31168份额净值为1.0202元，Y32168份额净值为1.0208元，Y33168份额净值为1.0214元。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1,280,161,324.18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49.17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XTDKX202406210005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粤财信托·瑞兴144号集合资金信托计划第2期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200,892,702.00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XTDKX202406060021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粤财信托·瑞兴128号集合资金信托计划（第1期）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200,779,078.00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TYJKX202406060023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同业借款（南银法巴消金）20240611-02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XTDKX202406270021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粤财信托·瑞兴146号集合资金信托计划（第1期）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192,788,060.16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XTDKX202406130022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粤财信托·瑞兴125号集合资金信托计划（第1期）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150,622,899.00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粤财信托·瑞兴119号集合资金信托计划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100,433,881.00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XTDKX202406030002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粤财信托·瑞兴132号集合资金信托计划（第1期-鑫逸稳168期）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100,399,736.00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XTDKX202406120003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100,393,213.00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ZJQTT202407120002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中粮信托·丰利1号集合资金信托计划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40,869,629.52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1.57</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东海县城市建设投资发展集团有限公司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粤财信托·瑞兴106号集合资金信托计划第2期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南京江北新区科技投资集团有限公司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连云港市城建控股集团有限公司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粤财信托·瑞兴144号集合资金信托计划第2期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诸暨市交通基础设施建设有限公司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粤财信托·瑞兴119号集合资金信托计划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富皋万泰集团有限公司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粤财信托·瑞兴146号集合资金信托计划（第1期）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南银法巴消费金融有限公司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同业借款（南银法巴消金）20240611-02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张家港市高铁投资发展(集团)有限公司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粤财信托·瑞兴100号集合资金信托计划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宜兴市阳羡新农村建设有限公司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粤财信托·瑞兴132号集合资金信托计划（第1期-鑫逸稳168期）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江苏金坛投资集团有限公司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南京江宁滨江物流有限公司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重庆信托·滨江物流集合资金信托计划第1期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0101060000001034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南京银行南京分行南银理财鑫逸稳一年168期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200,000,000.00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8,000,000.00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570,221.72</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