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982,620,119.00份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五矿国际信托有限公司,国投泰康信托有限公司,广东粤财信托有限公司,紫金信托有限责任公司,中国对外经济贸易信托有限公司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592,803,423.70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246,440,486.08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168,247,773.82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截至报告期末，本产品Y30161份额净值为1.0248元，Y31161份额净值为1.0256元，Y32161份额净值为1.0263元。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339,831,558.17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国投泰康信托.远望110号集合资金信托计划（第1期-鑫逸稳161/162期）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206,531,310.00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161,611,063.57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100,379,732.00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100,347,455.00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90,305,421.30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6,051,005.90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国投泰康信托.远望110号集合资金信托计划（第1期-鑫逸稳161/162期）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高邮市交通产业投资集团有限公司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无锡市太湖新城资产经营管理有限公司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435,626.43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