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南银理财鼎瑞悦稳（最低持有60天）1号公募人民币理财产品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南银理财鼎瑞悦稳（最低持有60天）1号公募人民币理财产品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9,558,726,819.10份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103.96%</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万家基金管理有限公司,中粮信托有限责任公司,国投泰康信托有限公司,广发基金管理有限公司,招商基金管理有限公司,景顺长城基金管理有限公司,交银施罗德基金管理有限公司,江苏省国际信托有限责任公司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报告期（2024年09月26日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3,131,730,703.94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1.011106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16,437.50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A32046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6,336,091,781.00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A32047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193,403,233.51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截至报告期末，本产品A32038份额净值为1.011106元，A32046份额净值为1.010544元，A32047份额净值为1.010374元。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93.03</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6.97</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2,410,437,630.16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1,333,953,725.82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728,732,804.28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09230422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23农发清发22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404,930,000.00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377,592,361.11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335,189,276.51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009532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广发景明中短债E</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251,097,476.03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008204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交银稳利中短债债券A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248,640,137.31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招商基金-安鑫2号集合资产管理计划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201,783,908.04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XJCKX202411260001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浦发银行南京分行活期存款（约期）20241126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0101010000001201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南京银行南京分行南银理财鼎瑞悦稳最低持有60天1号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99,543,726.67</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150,462,100.00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39,867.53</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36.63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