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xsi="http://www.w3.org/2001/XMLSchema-instance">
  <w:body>
    <w:p w:rsidR="003041BA" w:rsidRDefault="003041BA">
      <w:pPr>
        <w:spacing w:before="240"/>
        <w:jc w:val="center"/>
      </w:pPr>
    </w:p>
    <w:p w:rsidR="003041BA" w:rsidRDefault="003041BA">
      <w:pPr>
        <w:spacing w:before="240"/>
        <w:jc w:val="center"/>
      </w:pPr>
    </w:p>
    <w:p w:rsidR="003041BA" w:rsidRDefault="003041BA">
      <w:pPr>
        <w:spacing w:before="240"/>
        <w:jc w:val="center"/>
      </w:pPr>
    </w:p>
    <w:p w:rsidR="003041BA" w:rsidRDefault="003F38EF">
      <w:pPr>
        <w:spacing w:before="240"/>
        <w:jc w:val="center"/>
        <w:rPr>
          <w:rFonts w:ascii="方正黑体简体" w:eastAsia="方正黑体简体"/>
          <w:sz w:val="36"/>
        </w:rPr>
      </w:pPr>
      <w:r>
        <w:rPr>
          <w:rFonts w:ascii="方正黑体简体" w:eastAsia="方正黑体简体"/>
          <w:sz w:val="36"/>
        </w:rPr>
        <w:t>南银理财鼎瑞悦稳（最低持有371天）1号公募人民币理财产品</w:t>
      </w:r>
    </w:p>
    <w:p w:rsidR="003041BA" w:rsidRDefault="003F38EF">
      <w:pPr>
        <w:spacing w:before="240"/>
        <w:jc w:val="center"/>
        <w:rPr>
          <w:rFonts w:ascii="方正黑体简体" w:eastAsia="方正黑体简体" w:hAnsi="黑体"/>
          <w:sz w:val="36"/>
        </w:rPr>
      </w:pPr>
      <w:r>
        <w:rPr>
          <w:rFonts w:ascii="方正黑体简体" w:eastAsia="方正黑体简体" w:hAnsi="黑体"/>
          <w:sz w:val="36"/>
        </w:rPr>
        <w:t>2024</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F38EF">
      <w:pPr>
        <w:spacing w:before="240"/>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3041BA" w:rsidRDefault="003F38EF">
      <w:pPr>
        <w:spacing w:before="240"/>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3041BA" w:rsidRDefault="003F38EF">
      <w:pPr>
        <w:spacing w:before="240"/>
        <w:rPr>
          <w:rFonts w:ascii="方正仿宋简体" w:eastAsia="方正仿宋简体"/>
          <w:sz w:val="24"/>
          <w:szCs w:val="24"/>
        </w:rPr>
      </w:pPr>
      <w:r>
        <w:rPr>
          <w:rFonts w:ascii="方正仿宋简体" w:eastAsia="方正仿宋简体" w:hint="eastAsia"/>
          <w:sz w:val="24"/>
          <w:szCs w:val="24"/>
        </w:rPr>
        <w:br w:type="page"/>
      </w:r>
    </w:p>
    <w:p w:rsidR="003041BA" w:rsidRDefault="003F38EF">
      <w:pPr>
        <w:spacing w:before="240"/>
        <w:jc w:val="center"/>
        <w:rPr>
          <w:rFonts w:ascii="方正仿宋简体" w:eastAsia="方正仿宋简体"/>
          <w:b/>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p w:rsidR="003041BA" w:rsidRDefault="003041BA">
      <w:pPr>
        <w:spacing w:before="240"/>
        <w:rPr>
          <w:rFonts w:ascii="方正仿宋简体" w:eastAsia="方正仿宋简体" w:hAnsi="宋体" w:cs="宋体"/>
          <w:kern w:val="0"/>
          <w:sz w:val="24"/>
          <w:szCs w:val="24"/>
        </w:rPr>
      </w:pPr>
    </w:p>
    <w:tbl>
      <w:tblPr>
        <w:tblW w:w="919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11"/>
        <w:gridCol w:w="6387"/>
      </w:tblGrid>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产品全称</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南银理财鼎瑞悦稳（最低持有371天）1号公募人民币理财产品</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产品登记编码</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Z7003224000200</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产品运作方式</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开放式净值型</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产品成立日</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2024年09月27日</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报告期末产品份额总额</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4,000,903,322.97</w:t>
            </w:r>
            <w:r>
              <w:rPr>
                <w:rFonts w:ascii="方正仿宋简体" w:eastAsia="方正仿宋简体" w:hint="eastAsia"/>
                <w:sz w:val="24"/>
                <w:szCs w:val="24"/>
              </w:rPr>
              <w:t>份</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报告期末产品杠杆水平</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sz w:val="24"/>
                <w:szCs w:val="24"/>
              </w:rPr>
              <w:t>105.44%</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合作机构</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国投泰康信托有限公司,鑫元基金管理有限公司,江苏省国际信托有限责任公司,中国对外经济贸易信托有限公司</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产品管理人</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南银理财有限责任公司</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产品托管人</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南京银行股份有限公司</w:t>
            </w:r>
          </w:p>
        </w:tc>
      </w:tr>
    </w:tbl>
    <w:p w:rsidR="003041BA" w:rsidRDefault="003041BA">
      <w:pPr>
        <w:spacing w:before="240"/>
        <w:rPr>
          <w:rFonts w:ascii="方正仿宋简体" w:eastAsia="方正仿宋简体" w:hAnsi="宋体" w:cs="宋体"/>
          <w:kern w:val="0"/>
          <w:sz w:val="24"/>
          <w:szCs w:val="24"/>
        </w:rPr>
      </w:pPr>
    </w:p>
    <w:p w:rsidR="003041BA" w:rsidRDefault="003041BA">
      <w:pPr>
        <w:spacing w:before="240"/>
        <w:rPr>
          <w:rFonts w:ascii="方正仿宋简体" w:eastAsia="方正仿宋简体" w:hAnsi="Calibri"/>
          <w:sz w:val="24"/>
          <w:szCs w:val="24"/>
        </w:rPr>
      </w:pPr>
    </w:p>
    <w:p w:rsidR="003041BA" w:rsidRDefault="003F38EF">
      <w:pPr>
        <w:spacing w:before="240"/>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主要财务指标和产品</w:t>
      </w:r>
      <w:r>
        <w:rPr>
          <w:rFonts w:ascii="方正仿宋简体" w:eastAsia="方正仿宋简体" w:hint="eastAsia"/>
          <w:b/>
          <w:sz w:val="24"/>
          <w:szCs w:val="24"/>
        </w:rPr>
        <w:t>业绩比较基准</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3041BA" w:rsidRDefault="003F38EF">
      <w:pPr>
        <w:spacing w:before="240"/>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W w:w="9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122"/>
        <w:gridCol w:w="2551"/>
        <w:gridCol w:w="1418"/>
        <w:gridCol w:w="1275"/>
        <w:gridCol w:w="1956"/>
      </w:tblGrid>
      <w:tr w:rsidR="003041BA">
        <w:tc>
          <w:tcPr>
            <w:tcW w:w="2122" w:type="dxa"/>
            <w:vMerge w:val="restart"/>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00" w:type="dxa"/>
            <w:gridSpan w:val="4"/>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报告期（</w:t>
            </w:r>
            <w:r>
              <w:rPr>
                <w:rFonts w:ascii="方正仿宋简体" w:eastAsia="方正仿宋简体" w:hint="eastAsia"/>
                <w:sz w:val="24"/>
                <w:szCs w:val="24"/>
              </w:rPr>
              <w:t>2024年09月27日 - 2024年12月31日</w:t>
            </w:r>
            <w:r>
              <w:rPr>
                <w:rFonts w:ascii="方正仿宋简体" w:eastAsia="方正仿宋简体" w:hint="eastAsia"/>
                <w:sz w:val="24"/>
                <w:szCs w:val="24"/>
              </w:rPr>
              <w:t>）</w:t>
            </w:r>
          </w:p>
        </w:tc>
      </w:tr>
      <w:tr w:rsidR="003041BA">
        <w:tc>
          <w:tcPr>
            <w:tcW w:w="2122" w:type="dxa"/>
            <w:vMerge/>
            <w:vAlign w:val="center"/>
          </w:tcPr>
          <w:p w:rsidR="003041BA" w:rsidRDefault="003041BA" w:rsidP="00BD0A6A">
            <w:pPr>
              <w:spacing w:before="240" w:afterLines="50" w:line="360" w:lineRule="auto"/>
              <w:jc w:val="center"/>
              <w:rPr>
                <w:rFonts w:ascii="方正仿宋简体" w:eastAsia="方正仿宋简体"/>
                <w:sz w:val="24"/>
                <w:szCs w:val="24"/>
              </w:rPr>
            </w:pPr>
          </w:p>
        </w:tc>
        <w:tc>
          <w:tcPr>
            <w:tcW w:w="2551"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1.</w:t>
            </w:r>
            <w:r>
              <w:rPr>
                <w:rFonts w:ascii="方正仿宋简体" w:eastAsia="方正仿宋简体" w:hint="eastAsia"/>
                <w:sz w:val="24"/>
                <w:szCs w:val="24"/>
              </w:rPr>
              <w:t>期末产品最后一个市场交易日资产净值</w:t>
            </w:r>
          </w:p>
        </w:tc>
        <w:tc>
          <w:tcPr>
            <w:tcW w:w="1418"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2.</w:t>
            </w:r>
            <w:r>
              <w:rPr>
                <w:rFonts w:ascii="方正仿宋简体" w:eastAsia="方正仿宋简体" w:hint="eastAsia"/>
                <w:sz w:val="24"/>
                <w:szCs w:val="24"/>
              </w:rPr>
              <w:t>期末产品最后一个市场交易日份额净值</w:t>
            </w:r>
          </w:p>
        </w:tc>
        <w:tc>
          <w:tcPr>
            <w:tcW w:w="1275"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3.</w:t>
            </w:r>
            <w:r>
              <w:rPr>
                <w:rFonts w:ascii="方正仿宋简体" w:eastAsia="方正仿宋简体" w:hint="eastAsia"/>
                <w:sz w:val="24"/>
                <w:szCs w:val="24"/>
              </w:rPr>
              <w:t>期末产品最后一个市场交易日份额累计净值</w:t>
            </w:r>
          </w:p>
        </w:tc>
        <w:tc>
          <w:tcPr>
            <w:tcW w:w="1956"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4.</w:t>
            </w:r>
            <w:r>
              <w:rPr>
                <w:rFonts w:ascii="方正仿宋简体" w:eastAsia="方正仿宋简体" w:hint="eastAsia"/>
                <w:sz w:val="24"/>
                <w:szCs w:val="24"/>
              </w:rPr>
              <w:t>其它费用</w:t>
            </w:r>
          </w:p>
        </w:tc>
      </w:tr>
      <w:tr>
        <w:trPr xsi:nil="true"/>
        <w:tc>
          <w:tcPr>
            <w:tcW w:w="2122"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A32041</w:t>
            </w:r>
          </w:p>
        </w:tc>
        <w:tc>
          <w:tcPr>
            <w:tcW w:w="2551"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3,141,588,981.99</w:t>
            </w:r>
          </w:p>
        </w:tc>
        <w:tc>
          <w:tcPr>
            <w:tcW w:w="1418"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1.014139</w:t>
            </w:r>
          </w:p>
        </w:tc>
        <w:tc>
          <w:tcPr>
            <w:tcW w:w="1275"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1.014139</w:t>
            </w:r>
          </w:p>
        </w:tc>
        <w:tc>
          <w:tcPr>
            <w:tcW w:w="1956" w:type="dxa"/>
            <w:vMerge w:val="restart"/>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13,160.22</w:t>
            </w:r>
          </w:p>
        </w:tc>
      </w:tr>
      <w:tr>
        <w:trPr xsi:nil="true"/>
        <w:tc>
          <w:tcPr>
            <w:tcW w:w="2122"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A32043</w:t>
            </w:r>
          </w:p>
        </w:tc>
        <w:tc>
          <w:tcPr>
            <w:tcW w:w="2551"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915,265,816.87</w:t>
            </w:r>
          </w:p>
        </w:tc>
        <w:tc>
          <w:tcPr>
            <w:tcW w:w="1418"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1.013453</w:t>
            </w:r>
          </w:p>
        </w:tc>
        <w:tc>
          <w:tcPr>
            <w:tcW w:w="1275"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1.013453</w:t>
            </w:r>
          </w:p>
        </w:tc>
        <w:tc>
          <w:tcPr>
            <w:tcW w:w="1956" w:type="dxa"/>
            <w:vMerge w:val="continue"/>
            <w:vAlign w:val="center"/>
            <w:vAlign w:val="center"/>
          </w:tcPr>
          <w:p>
            <w:pPr>
              <w:spacing w:before="240" w:afterLines="50" w:line="360" w:lineRule="auto"/>
              <w:jc w:val="center"/>
              <w:textAlignment w:val="center"/>
              <w:rPr>
                <w:rFonts w:ascii="方正仿宋简体" w:eastAsia="方正仿宋简体"/>
                <w:sz w:val="24"/>
                <w:szCs w:val="24"/>
              </w:rPr>
            </w:pPr>
          </w:p>
        </w:tc>
      </w:tr>
    </w:tbl>
    <w:p w:rsidR="003041BA" w:rsidRDefault="003041BA">
      <w:pPr>
        <w:spacing w:before="240"/>
        <w:jc w:val="right"/>
        <w:rPr>
          <w:rFonts w:ascii="方正仿宋简体" w:eastAsia="方正仿宋简体" w:cs="宋体"/>
          <w:kern w:val="0"/>
          <w:sz w:val="24"/>
          <w:szCs w:val="24"/>
        </w:rPr>
      </w:pPr>
    </w:p>
    <w:p w:rsidR="003041BA" w:rsidRDefault="003F38EF">
      <w:pPr>
        <w:spacing w:before="240"/>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注：产品净值可能存在未扣除管理人及投资合作机构业绩报酬、赎回费等费用（如有）的情况，实际收益以兑付为准。</w:t>
      </w:r>
    </w:p>
    <w:p w:rsidR="003041BA" w:rsidRDefault="003041BA">
      <w:pPr>
        <w:spacing w:before="240"/>
        <w:rPr>
          <w:rFonts w:ascii="方正仿宋简体" w:eastAsia="方正仿宋简体" w:hAnsi="宋体" w:cs="宋体"/>
          <w:kern w:val="0"/>
          <w:sz w:val="24"/>
          <w:szCs w:val="24"/>
        </w:rPr>
      </w:pP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2.2 </w:t>
      </w:r>
      <w:r>
        <w:rPr>
          <w:rFonts w:ascii="方正仿宋简体" w:eastAsia="方正仿宋简体" w:hint="eastAsia"/>
          <w:b/>
          <w:sz w:val="24"/>
          <w:szCs w:val="24"/>
        </w:rPr>
        <w:t>产品业绩比较基准</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2.2.1 </w:t>
      </w:r>
      <w:r>
        <w:rPr>
          <w:rFonts w:ascii="方正仿宋简体" w:eastAsia="方正仿宋简体" w:hint="eastAsia"/>
          <w:b/>
          <w:sz w:val="24"/>
          <w:szCs w:val="24"/>
        </w:rPr>
        <w:t>本报告期产品业绩比较基准</w:t>
      </w:r>
    </w:p>
    <w:tbl>
      <w:tblPr>
        <w:tblW w:w="9243"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3856"/>
        <w:gridCol w:w="2694"/>
        <w:gridCol w:w="2693"/>
      </w:tblGrid>
      <w:tr w:rsidR="003041BA">
        <w:tc>
          <w:tcPr>
            <w:tcW w:w="3856"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阶段</w:t>
            </w:r>
          </w:p>
        </w:tc>
        <w:tc>
          <w:tcPr>
            <w:tcW w:w="2694"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内部销售代码</w:t>
            </w:r>
          </w:p>
        </w:tc>
        <w:tc>
          <w:tcPr>
            <w:tcW w:w="2693"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业绩比较基准</w:t>
            </w:r>
          </w:p>
        </w:tc>
      </w:tr>
      <w:tr>
        <w:trPr xsi:nil="true"/>
        <w:tc>
          <w:tcPr>
            <w:tcW w:w="3856"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2024年09月27日 - 2024年12月31日</w:t>
            </w:r>
          </w:p>
        </w:tc>
        <w:tc>
          <w:tcPr>
            <w:tcW w:w="2694"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A32041</w:t>
            </w:r>
          </w:p>
        </w:tc>
        <w:tc>
          <w:tcPr>
            <w:tcW w:w="2693"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1.94%</w:t>
            </w:r>
          </w:p>
        </w:tc>
      </w:tr>
      <w:tr>
        <w:trPr xsi:nil="true"/>
        <w:tc>
          <w:tcPr>
            <w:tcW w:w="3856"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2024年09月27日 - 2024年12月31日</w:t>
            </w:r>
          </w:p>
        </w:tc>
        <w:tc>
          <w:tcPr>
            <w:tcW w:w="2694"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A32043</w:t>
            </w:r>
          </w:p>
        </w:tc>
        <w:tc>
          <w:tcPr>
            <w:tcW w:w="2693"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1.94%</w:t>
            </w:r>
          </w:p>
        </w:tc>
      </w:tr>
    </w:tbl>
    <w:p w:rsidR="003041BA" w:rsidRDefault="003041BA">
      <w:pPr>
        <w:spacing w:before="240"/>
        <w:rPr>
          <w:rFonts w:ascii="方正仿宋简体" w:eastAsia="方正仿宋简体"/>
          <w:sz w:val="24"/>
          <w:szCs w:val="24"/>
        </w:rPr>
      </w:pPr>
    </w:p>
    <w:p w:rsidR="003041BA" w:rsidRDefault="003041BA">
      <w:pPr>
        <w:spacing w:before="240"/>
        <w:rPr>
          <w:rFonts w:ascii="方正仿宋简体" w:eastAsia="方正仿宋简体"/>
          <w:sz w:val="24"/>
          <w:szCs w:val="24"/>
        </w:rPr>
      </w:pPr>
    </w:p>
    <w:p w:rsidR="003041BA" w:rsidRDefault="003041BA">
      <w:pPr>
        <w:spacing w:before="240"/>
        <w:rPr>
          <w:rFonts w:ascii="方正仿宋简体" w:eastAsia="方正仿宋简体" w:hAnsi="宋体" w:cs="宋体"/>
          <w:kern w:val="0"/>
          <w:sz w:val="24"/>
          <w:szCs w:val="24"/>
        </w:rPr>
      </w:pPr>
    </w:p>
    <w:p w:rsidR="003041BA" w:rsidRDefault="003F38EF">
      <w:pPr>
        <w:spacing w:before="240"/>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3041BA" w:rsidRDefault="003F38EF">
      <w:pPr>
        <w:spacing w:before="240"/>
        <w:rPr>
          <w:rFonts w:ascii="方正仿宋简体" w:eastAsia="方正仿宋简体"/>
          <w:sz w:val="24"/>
          <w:szCs w:val="24"/>
        </w:rPr>
      </w:pPr>
      <w:r>
        <w:rPr>
          <w:rFonts w:ascii="方正仿宋简体" w:eastAsia="方正仿宋简体" w:hint="eastAsia"/>
          <w:sz w:val="24"/>
          <w:szCs w:val="24"/>
        </w:rPr>
        <w:t>  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国庆后,随着权益市场的风险偏好的抬升，利率呈现震荡状态，信用债继续延续调整的态势，进入11月后，市场开始预期降准降息，市场开始抢跑，10年国债利率最低下行至1.7%附近，对降息预期定价较为充分，信用利差和期限利差被动走阔。</w:t>
        <w:br w:type="textWrapping" w:clear="all"/>
      </w:r>
      <w:r>
        <w:rPr>
          <w:rFonts w:ascii="方正仿宋简体" w:eastAsia="方正仿宋简体" w:hint="eastAsia"/>
          <w:sz w:val="24"/>
          <w:szCs w:val="24"/>
        </w:rPr>
        <w:t>  展望2025年1季度，对债券市场并不悲观，从货币的角度来看，当前的经济基本面偏弱的格局并不支持货币政策出现转向，进一步降准降息值得期待。</w:t>
        <w:br w:type="textWrapping" w:clear="all"/>
      </w:r>
      <w:r>
        <w:rPr>
          <w:rFonts w:ascii="方正仿宋简体" w:eastAsia="方正仿宋简体" w:hint="eastAsia"/>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ascii="方正仿宋简体" w:eastAsia="方正仿宋简体" w:hint="eastAsia"/>
          <w:sz w:val="24"/>
          <w:szCs w:val="24"/>
        </w:rPr>
        <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3041BA" w:rsidRDefault="003F38EF">
      <w:pPr>
        <w:spacing w:before="240"/>
        <w:rPr>
          <w:rFonts w:ascii="方正仿宋简体" w:eastAsia="方正仿宋简体"/>
          <w:sz w:val="24"/>
          <w:szCs w:val="24"/>
        </w:rPr>
      </w:pPr>
      <w:r>
        <w:rPr>
          <w:rFonts w:ascii="方正仿宋简体" w:eastAsia="方正仿宋简体" w:hint="eastAsia"/>
          <w:sz w:val="24"/>
          <w:szCs w:val="24"/>
        </w:rPr>
        <w:t>  本产品持仓资产以债券为主，在持仓中维持合理比例高流动性资产，产品流动性状况较好。</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3041BA" w:rsidRDefault="003F38EF">
      <w:pPr>
        <w:spacing w:before="240"/>
        <w:ind w:firstLineChars="200" w:firstLine="480"/>
        <w:rPr>
          <w:rFonts w:ascii="方正仿宋简体" w:eastAsia="方正仿宋简体"/>
          <w:sz w:val="24"/>
          <w:szCs w:val="24"/>
        </w:rPr>
      </w:pPr>
      <w:r>
        <w:rPr>
          <w:rFonts w:ascii="方正仿宋简体" w:eastAsia="方正仿宋简体" w:hint="eastAsia"/>
          <w:sz w:val="24"/>
          <w:szCs w:val="24"/>
        </w:rPr>
        <w:t>截至报告期末</w:t>
      </w:r>
      <w:r>
        <w:rPr>
          <w:rFonts w:ascii="方正仿宋简体" w:eastAsia="方正仿宋简体" w:hint="eastAsia"/>
          <w:sz w:val="24"/>
          <w:szCs w:val="24"/>
        </w:rPr>
        <w:t>,</w:t>
      </w:r>
      <w:r>
        <w:rPr>
          <w:rFonts w:ascii="方正仿宋简体" w:eastAsia="方正仿宋简体" w:hint="eastAsia"/>
          <w:sz w:val="24"/>
          <w:szCs w:val="24"/>
        </w:rPr>
        <w:t>本产品</w:t>
      </w:r>
      <w:r>
        <w:rPr>
          <w:rFonts w:ascii="方正仿宋简体" w:eastAsia="方正仿宋简体" w:hint="eastAsia"/>
          <w:sz w:val="24"/>
          <w:szCs w:val="24"/>
        </w:rPr>
        <w:t>A32041份额净值为1.014139元，A32043份额净值为1.013453</w:t>
      </w:r>
      <w:r>
        <w:rPr>
          <w:rFonts w:ascii="方正仿宋简体" w:eastAsia="方正仿宋简体" w:hint="eastAsia"/>
          <w:sz w:val="24"/>
          <w:szCs w:val="24"/>
        </w:rPr>
        <w:t>元。</w:t>
      </w:r>
    </w:p>
    <w:p w:rsidR="003041BA" w:rsidRDefault="003041BA">
      <w:pPr>
        <w:spacing w:before="240"/>
        <w:rPr>
          <w:rFonts w:ascii="方正仿宋简体" w:eastAsia="方正仿宋简体" w:hAnsi="宋体" w:cs="宋体"/>
          <w:kern w:val="0"/>
          <w:sz w:val="24"/>
          <w:szCs w:val="24"/>
        </w:rPr>
      </w:pPr>
    </w:p>
    <w:p w:rsidR="003041BA" w:rsidRDefault="003F38EF">
      <w:pPr>
        <w:spacing w:before="240"/>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3041BA" w:rsidRDefault="003041BA">
      <w:pPr>
        <w:spacing w:before="240"/>
        <w:rPr>
          <w:rFonts w:ascii="方正仿宋简体" w:eastAsia="方正仿宋简体" w:hAnsi="Calibri"/>
          <w:sz w:val="24"/>
          <w:szCs w:val="24"/>
        </w:rPr>
      </w:pP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3041BA" w:rsidRDefault="003F38EF">
      <w:pPr>
        <w:spacing w:before="240"/>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3041BA" w:rsidRDefault="003F38EF">
      <w:pPr>
        <w:spacing w:before="240"/>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4.3 </w:t>
      </w:r>
      <w:r w:rsidR="00BD0A6A">
        <w:rPr>
          <w:rFonts w:ascii="方正仿宋简体" w:eastAsia="方正仿宋简体" w:hint="eastAsia"/>
          <w:b/>
          <w:sz w:val="24"/>
          <w:szCs w:val="24"/>
        </w:rPr>
        <w:t>托管人对本报告期内</w:t>
      </w:r>
      <w:r>
        <w:rPr>
          <w:rFonts w:ascii="方正仿宋简体" w:eastAsia="方正仿宋简体" w:hint="eastAsia"/>
          <w:b/>
          <w:sz w:val="24"/>
          <w:szCs w:val="24"/>
        </w:rPr>
        <w:t>报告中</w:t>
      </w:r>
      <w:r>
        <w:rPr>
          <w:rFonts w:ascii="方正仿宋简体" w:eastAsia="方正仿宋简体" w:hint="eastAsia"/>
          <w:b/>
          <w:sz w:val="24"/>
          <w:szCs w:val="24"/>
        </w:rPr>
        <w:t>财务信息等内容的真实、准确和完整发表意见</w:t>
      </w:r>
    </w:p>
    <w:p w:rsidR="003041BA" w:rsidRDefault="003F38EF">
      <w:pPr>
        <w:spacing w:before="240"/>
        <w:rPr>
          <w:rFonts w:ascii="方正仿宋简体" w:eastAsia="方正仿宋简体"/>
          <w:sz w:val="24"/>
          <w:szCs w:val="24"/>
        </w:rPr>
      </w:pPr>
      <w:r>
        <w:rPr>
          <w:rFonts w:ascii="方正仿宋简体" w:eastAsia="方正仿宋简体"/>
          <w:sz w:val="24"/>
          <w:szCs w:val="24"/>
        </w:rPr>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3041BA" w:rsidRDefault="003F38EF">
      <w:pPr>
        <w:spacing w:before="240"/>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3041BA" w:rsidRDefault="003041BA">
      <w:pPr>
        <w:spacing w:before="240"/>
        <w:rPr>
          <w:rFonts w:ascii="方正仿宋简体" w:eastAsia="方正仿宋简体" w:hAnsi="宋体" w:cs="宋体"/>
          <w:kern w:val="0"/>
          <w:sz w:val="24"/>
          <w:szCs w:val="24"/>
        </w:rPr>
      </w:pP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38"/>
        <w:gridCol w:w="1843"/>
        <w:gridCol w:w="2976"/>
        <w:gridCol w:w="3261"/>
      </w:tblGrid>
      <w:tr w:rsidR="003041BA">
        <w:tc>
          <w:tcPr>
            <w:tcW w:w="738"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lastRenderedPageBreak/>
              <w:t>序号</w:t>
            </w:r>
          </w:p>
        </w:tc>
        <w:tc>
          <w:tcPr>
            <w:tcW w:w="1843"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29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6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3041BA">
        <w:tc>
          <w:tcPr>
            <w:tcW w:w="738"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43"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29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95.53</w:t>
            </w:r>
            <w:r>
              <w:rPr>
                <w:rFonts w:ascii="方正仿宋简体" w:eastAsia="方正仿宋简体" w:hAnsiTheme="minorEastAsia"/>
                <w:sz w:val="24"/>
                <w:szCs w:val="24"/>
              </w:rPr>
              <w:t>%</w:t>
            </w:r>
          </w:p>
        </w:tc>
        <w:tc>
          <w:tcPr>
            <w:tcW w:w="326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91.69</w:t>
            </w:r>
            <w:r>
              <w:rPr>
                <w:rFonts w:ascii="方正仿宋简体" w:eastAsia="方正仿宋简体" w:hAnsiTheme="minorEastAsia"/>
                <w:sz w:val="24"/>
                <w:szCs w:val="24"/>
              </w:rPr>
              <w:t>%</w:t>
            </w:r>
          </w:p>
        </w:tc>
      </w:tr>
      <w:tr w:rsidR="003041BA">
        <w:tc>
          <w:tcPr>
            <w:tcW w:w="738"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43"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29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4.47</w:t>
            </w:r>
            <w:r>
              <w:rPr>
                <w:rFonts w:ascii="方正仿宋简体" w:eastAsia="方正仿宋简体" w:hAnsiTheme="minorEastAsia"/>
                <w:sz w:val="24"/>
                <w:szCs w:val="24"/>
              </w:rPr>
              <w:t>%</w:t>
            </w:r>
          </w:p>
        </w:tc>
        <w:tc>
          <w:tcPr>
            <w:tcW w:w="326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8.31</w:t>
            </w:r>
            <w:r>
              <w:rPr>
                <w:rFonts w:ascii="方正仿宋简体" w:eastAsia="方正仿宋简体" w:hAnsiTheme="minorEastAsia"/>
                <w:sz w:val="24"/>
                <w:szCs w:val="24"/>
              </w:rPr>
              <w:t>%</w:t>
            </w:r>
          </w:p>
        </w:tc>
      </w:tr>
      <w:tr w:rsidR="003041BA">
        <w:tc>
          <w:tcPr>
            <w:tcW w:w="738"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43"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29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6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3041BA">
        <w:tc>
          <w:tcPr>
            <w:tcW w:w="738"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43"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29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6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3041BA">
        <w:tc>
          <w:tcPr>
            <w:tcW w:w="738" w:type="dxa"/>
            <w:vAlign w:val="bottom"/>
          </w:tcPr>
          <w:p w:rsidR="003041BA" w:rsidRDefault="003F38EF">
            <w:pPr>
              <w:spacing w:before="24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43" w:type="dxa"/>
            <w:vAlign w:val="center"/>
          </w:tcPr>
          <w:p w:rsidR="003041BA" w:rsidRDefault="003F38EF">
            <w:pPr>
              <w:spacing w:before="24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2976" w:type="dxa"/>
            <w:vAlign w:val="center"/>
          </w:tcPr>
          <w:p w:rsidR="003041BA" w:rsidRDefault="003F38EF">
            <w:pPr>
              <w:spacing w:before="24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61" w:type="dxa"/>
            <w:vAlign w:val="center"/>
          </w:tcPr>
          <w:p w:rsidR="003041BA" w:rsidRDefault="003F38EF">
            <w:pPr>
              <w:spacing w:before="24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3041BA" w:rsidRDefault="003041BA">
      <w:pPr>
        <w:spacing w:before="240"/>
        <w:rPr>
          <w:rFonts w:ascii="方正仿宋简体" w:eastAsia="方正仿宋简体" w:cs="宋体"/>
          <w:kern w:val="0"/>
          <w:sz w:val="24"/>
          <w:szCs w:val="24"/>
        </w:rPr>
      </w:pP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w:t>
      </w:r>
      <w:r>
        <w:rPr>
          <w:rFonts w:ascii="方正仿宋简体" w:eastAsia="方正仿宋简体"/>
          <w:b/>
          <w:sz w:val="24"/>
          <w:szCs w:val="24"/>
        </w:rPr>
        <w:t>产品</w:t>
      </w:r>
      <w:r>
        <w:rPr>
          <w:rFonts w:ascii="方正仿宋简体" w:eastAsia="方正仿宋简体" w:hint="eastAsia"/>
          <w:b/>
          <w:sz w:val="24"/>
          <w:szCs w:val="24"/>
        </w:rPr>
        <w:t>资产净值比例大小排序的前十名资产投资明细</w:t>
      </w:r>
    </w:p>
    <w:tbl>
      <w:tblPr>
        <w:tblW w:w="8800"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2"/>
        <w:gridCol w:w="1728"/>
        <w:gridCol w:w="2690"/>
        <w:gridCol w:w="2035"/>
        <w:gridCol w:w="1765"/>
      </w:tblGrid>
      <w:tr w:rsidR="003041BA">
        <w:trPr>
          <w:trHeight w:val="870"/>
        </w:trPr>
        <w:tc>
          <w:tcPr>
            <w:tcW w:w="582"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28"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690"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35"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65"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ZJQTT202311240001</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国投泰康信托福佳3号集合资金信托计划</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1,279,149,267.55</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31.53</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ZJQTT202301110001</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外贸信托-鑫华优享1号证券投资集合资金信托计划</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165,326,763.20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4.08</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256928</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24射阳01</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120,000,000.00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2.96</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102485221</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24黄海金融MTN002</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101,239,600.00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2.50</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014005</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鑫元鸿利债券D</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100,123,631.53</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2.47</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017180</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鑫元璟丰债券</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100,046,645.80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2.47</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256734</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24海奕01</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2.46</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257032</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24珞璜02</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80,000,000.00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1.97</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182476</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22六城02</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79,976,000.00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1.97</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ZJQTT202301090001</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江苏信托鑫盈3号集合资金信托计划</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75,182,115.91</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1.85</w:t>
            </w:r>
          </w:p>
        </w:tc>
      </w:tr>
    </w:tbl>
    <w:p w:rsidR="003041BA" w:rsidRDefault="003041BA">
      <w:pPr>
        <w:spacing w:before="240"/>
        <w:rPr>
          <w:rFonts w:ascii="方正仿宋简体" w:eastAsia="方正仿宋简体" w:hAnsi="宋体" w:cs="宋体"/>
          <w:sz w:val="24"/>
          <w:szCs w:val="24"/>
          <w:shd w:val="clear" w:color="auto" w:fill="FFFFFF"/>
        </w:rPr>
      </w:pPr>
    </w:p>
    <w:p w:rsidR="003041BA" w:rsidRDefault="003F38EF">
      <w:pPr>
        <w:spacing w:before="240"/>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lastRenderedPageBreak/>
        <w:t>5.3</w:t>
      </w:r>
      <w:r>
        <w:rPr>
          <w:rFonts w:ascii="方正仿宋简体" w:eastAsia="方正仿宋简体" w:hAnsi="宋体" w:cs="宋体" w:hint="eastAsia"/>
          <w:b/>
          <w:sz w:val="24"/>
          <w:szCs w:val="24"/>
          <w:shd w:val="clear" w:color="auto" w:fill="FFFFFF"/>
        </w:rPr>
        <w:t>报告期末非标准化债权类资产明细</w:t>
      </w:r>
    </w:p>
    <w:tbl>
      <w:tblPr>
        <w:tblW w:w="8931"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9"/>
        <w:gridCol w:w="1276"/>
        <w:gridCol w:w="1701"/>
        <w:gridCol w:w="1417"/>
        <w:gridCol w:w="1701"/>
        <w:gridCol w:w="1276"/>
        <w:gridCol w:w="851"/>
      </w:tblGrid>
      <w:tr w:rsidR="003041BA">
        <w:tc>
          <w:tcPr>
            <w:tcW w:w="709"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70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7"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70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5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xsi:nil="true"/>
        <w:tc>
          <w:tcPr>
            <w:tcW w:w="709"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41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85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3041BA" w:rsidRDefault="003041BA">
      <w:pPr>
        <w:spacing w:before="240"/>
        <w:rPr>
          <w:rFonts w:ascii="方正仿宋简体" w:eastAsia="方正仿宋简体" w:hAnsi="宋体" w:cs="宋体"/>
          <w:kern w:val="0"/>
          <w:sz w:val="24"/>
          <w:szCs w:val="24"/>
        </w:rPr>
      </w:pPr>
    </w:p>
    <w:p w:rsidR="003041BA" w:rsidRDefault="003F38EF">
      <w:pPr>
        <w:spacing w:before="240"/>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W w:w="913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91"/>
        <w:gridCol w:w="2036"/>
        <w:gridCol w:w="2037"/>
        <w:gridCol w:w="2037"/>
        <w:gridCol w:w="2037"/>
      </w:tblGrid>
      <w:tr w:rsidR="003041BA">
        <w:trPr>
          <w:trHeight w:val="705"/>
        </w:trPr>
        <w:tc>
          <w:tcPr>
            <w:tcW w:w="99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203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037"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2037"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2037"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trHeight w:val="364"/>
        </w:trPr>
        <w:tc>
          <w:tcPr>
            <w:tcW w:w="99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203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03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0101030000001200</w:t>
            </w:r>
          </w:p>
        </w:tc>
        <w:tc>
          <w:tcPr>
            <w:tcW w:w="203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南京银行南京分行南银理财鼎瑞悦稳最低持有371天1号</w:t>
            </w:r>
          </w:p>
        </w:tc>
        <w:tc>
          <w:tcPr>
            <w:tcW w:w="203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3041BA" w:rsidRDefault="003041BA">
      <w:pPr>
        <w:spacing w:before="240"/>
        <w:rPr>
          <w:rFonts w:ascii="方正仿宋简体" w:eastAsia="方正仿宋简体"/>
          <w:sz w:val="24"/>
          <w:szCs w:val="24"/>
        </w:rPr>
      </w:pPr>
    </w:p>
    <w:p w:rsidR="003041BA" w:rsidRDefault="003F38EF">
      <w:pPr>
        <w:spacing w:before="240"/>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w:t>
      </w:r>
      <w:r>
        <w:rPr>
          <w:rFonts w:ascii="方正仿宋简体" w:eastAsia="方正仿宋简体" w:hAnsi="宋体" w:cs="宋体" w:hint="eastAsia"/>
          <w:color w:val="000000"/>
          <w:kern w:val="0"/>
          <w:sz w:val="24"/>
          <w:szCs w:val="24"/>
        </w:rPr>
        <w:t>的</w:t>
      </w:r>
      <w:r>
        <w:rPr>
          <w:rFonts w:ascii="方正仿宋简体" w:eastAsia="方正仿宋简体" w:hAnsi="宋体" w:cs="宋体" w:hint="eastAsia"/>
          <w:color w:val="000000"/>
          <w:kern w:val="0"/>
          <w:sz w:val="24"/>
          <w:szCs w:val="24"/>
        </w:rPr>
        <w:t>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bookmarkStart w:id="0" w:name="_GoBack"/>
      <w:bookmarkEnd w:id="0"/>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362,140,939.72</w:t>
      </w:r>
      <w:r>
        <w:rPr>
          <w:rFonts w:ascii="方正仿宋简体" w:eastAsia="方正仿宋简体" w:hAnsi="宋体" w:cs="宋体" w:hint="eastAsia"/>
          <w:color w:val="000000"/>
          <w:kern w:val="0"/>
          <w:sz w:val="24"/>
          <w:szCs w:val="24"/>
        </w:rPr>
        <w:t>元。</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130,000,000.00</w:t>
      </w:r>
      <w:r>
        <w:rPr>
          <w:rFonts w:ascii="方正仿宋简体" w:eastAsia="方正仿宋简体" w:hAnsi="宋体" w:cs="宋体" w:hint="eastAsia"/>
          <w:color w:val="000000"/>
          <w:kern w:val="0"/>
          <w:sz w:val="24"/>
          <w:szCs w:val="24"/>
        </w:rPr>
        <w:t>元。</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199,998,000.00</w:t>
      </w:r>
      <w:r>
        <w:rPr>
          <w:rFonts w:ascii="方正仿宋简体" w:eastAsia="方正仿宋简体" w:hAnsi="宋体" w:cs="宋体" w:hint="eastAsia"/>
          <w:color w:val="000000"/>
          <w:kern w:val="0"/>
          <w:sz w:val="24"/>
          <w:szCs w:val="24"/>
        </w:rPr>
        <w:t>元。</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产品支付关联方托管费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19,580.21</w:t>
      </w:r>
      <w:r>
        <w:rPr>
          <w:rFonts w:ascii="方正仿宋简体" w:eastAsia="方正仿宋简体" w:hAnsi="宋体" w:cs="宋体" w:hint="eastAsia"/>
          <w:color w:val="000000"/>
          <w:kern w:val="0"/>
          <w:sz w:val="24"/>
          <w:szCs w:val="24"/>
        </w:rPr>
        <w:t>元，支付关联方代销费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3041BA" w:rsidRDefault="003F38EF">
      <w:pPr>
        <w:spacing w:before="240"/>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3041BA" w:rsidRDefault="003041BA">
      <w:pPr>
        <w:spacing w:before="240"/>
        <w:rPr>
          <w:rFonts w:ascii="方正仿宋简体" w:eastAsia="方正仿宋简体" w:hAnsi="宋体" w:cs="宋体"/>
          <w:kern w:val="0"/>
          <w:sz w:val="24"/>
          <w:szCs w:val="24"/>
        </w:rPr>
      </w:pPr>
    </w:p>
    <w:p w:rsidR="003041BA" w:rsidRDefault="003041BA">
      <w:pPr>
        <w:spacing w:before="240"/>
        <w:rPr>
          <w:rFonts w:ascii="方正仿宋简体" w:eastAsia="方正仿宋简体" w:hAnsi="宋体" w:cs="宋体"/>
          <w:kern w:val="0"/>
          <w:sz w:val="24"/>
          <w:szCs w:val="24"/>
        </w:rPr>
      </w:pPr>
    </w:p>
    <w:p w:rsidR="003041BA" w:rsidRDefault="003041BA">
      <w:pPr>
        <w:spacing w:before="240"/>
        <w:rPr>
          <w:rFonts w:ascii="方正仿宋简体" w:eastAsia="方正仿宋简体" w:hAnsi="宋体" w:cs="宋体"/>
          <w:kern w:val="0"/>
          <w:sz w:val="24"/>
          <w:szCs w:val="24"/>
        </w:rPr>
      </w:pPr>
    </w:p>
    <w:p w:rsidR="003041BA" w:rsidRDefault="003041BA">
      <w:pPr>
        <w:spacing w:before="240"/>
        <w:rPr>
          <w:rFonts w:ascii="方正仿宋简体" w:eastAsia="方正仿宋简体" w:hAnsi="宋体" w:cs="宋体"/>
          <w:kern w:val="0"/>
          <w:sz w:val="24"/>
          <w:szCs w:val="24"/>
        </w:rPr>
      </w:pPr>
    </w:p>
    <w:p w:rsidR="003041BA" w:rsidRDefault="003F38EF">
      <w:pPr>
        <w:spacing w:before="240"/>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3041BA" w:rsidRDefault="003F38EF">
      <w:pPr>
        <w:spacing w:before="240"/>
        <w:jc w:val="right"/>
        <w:rPr>
          <w:rFonts w:ascii="方正仿宋简体" w:eastAsia="方正仿宋简体"/>
          <w:b/>
          <w:sz w:val="24"/>
          <w:szCs w:val="24"/>
        </w:rPr>
      </w:pPr>
      <w:r>
        <w:rPr>
          <w:rFonts w:ascii="方正仿宋简体" w:eastAsia="方正仿宋简体" w:hint="eastAsia"/>
          <w:b/>
          <w:sz w:val="24"/>
          <w:szCs w:val="24"/>
        </w:rPr>
        <w:t>2024年12月31日</w:t>
      </w:r>
    </w:p>
    <w:sectPr w:rsidR="003041BA" w:rsidSect="003041BA">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F38EF" w:rsidRDefault="003F38EF" w:rsidP="003041BA">
      <w:r>
        <w:separator/>
      </w:r>
    </w:p>
  </w:endnote>
  <w:endnote w:type="continuationSeparator" w:id="1">
    <w:p w:rsidR="003F38EF" w:rsidRDefault="003F38EF" w:rsidP="003041B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1BA" w:rsidRDefault="003041BA">
    <w:pPr>
      <w:pStyle w:val="a6"/>
      <w:framePr w:wrap="around" w:vAnchor="text" w:hAnchor="margin" w:xAlign="center" w:y="1"/>
      <w:rPr>
        <w:rStyle w:val="aa"/>
      </w:rPr>
    </w:pPr>
    <w:r>
      <w:fldChar w:fldCharType="begin"/>
    </w:r>
    <w:r w:rsidR="003F38EF">
      <w:rPr>
        <w:rStyle w:val="aa"/>
      </w:rPr>
      <w:instrText xml:space="preserve">PAGE  </w:instrText>
    </w:r>
    <w:r>
      <w:fldChar w:fldCharType="end"/>
    </w:r>
  </w:p>
  <w:p w:rsidR="003041BA" w:rsidRDefault="003041BA">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1BA" w:rsidRDefault="003041BA">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F38EF" w:rsidRDefault="003F38EF" w:rsidP="003041BA">
      <w:r>
        <w:separator/>
      </w:r>
    </w:p>
  </w:footnote>
  <w:footnote w:type="continuationSeparator" w:id="1">
    <w:p w:rsidR="003F38EF" w:rsidRDefault="003F38EF" w:rsidP="003041B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1BA" w:rsidRDefault="003041BA">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1BA" w:rsidRDefault="003041BA">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20F7"/>
    <w:rsid w:val="000060E5"/>
    <w:rsid w:val="0001734B"/>
    <w:rsid w:val="000234FF"/>
    <w:rsid w:val="00026D52"/>
    <w:rsid w:val="000318AA"/>
    <w:rsid w:val="00034FF6"/>
    <w:rsid w:val="00044BFF"/>
    <w:rsid w:val="000470C2"/>
    <w:rsid w:val="0005474A"/>
    <w:rsid w:val="00061725"/>
    <w:rsid w:val="00082D5F"/>
    <w:rsid w:val="00095B95"/>
    <w:rsid w:val="000A3711"/>
    <w:rsid w:val="000D5066"/>
    <w:rsid w:val="000E3A08"/>
    <w:rsid w:val="000E6ACE"/>
    <w:rsid w:val="000F6191"/>
    <w:rsid w:val="001279EA"/>
    <w:rsid w:val="00130CE8"/>
    <w:rsid w:val="0014449D"/>
    <w:rsid w:val="00152201"/>
    <w:rsid w:val="00172A27"/>
    <w:rsid w:val="001735BA"/>
    <w:rsid w:val="00176636"/>
    <w:rsid w:val="00183C84"/>
    <w:rsid w:val="001B497D"/>
    <w:rsid w:val="001C05F9"/>
    <w:rsid w:val="001C5395"/>
    <w:rsid w:val="001E2EEA"/>
    <w:rsid w:val="001E5905"/>
    <w:rsid w:val="001E7120"/>
    <w:rsid w:val="00211F26"/>
    <w:rsid w:val="00224D9D"/>
    <w:rsid w:val="002263FC"/>
    <w:rsid w:val="002448E3"/>
    <w:rsid w:val="00247A0A"/>
    <w:rsid w:val="0026638C"/>
    <w:rsid w:val="00295E85"/>
    <w:rsid w:val="002A3AE9"/>
    <w:rsid w:val="002C196E"/>
    <w:rsid w:val="002C4810"/>
    <w:rsid w:val="002C555A"/>
    <w:rsid w:val="002D2DB0"/>
    <w:rsid w:val="002D6D6F"/>
    <w:rsid w:val="002D75D0"/>
    <w:rsid w:val="002E7131"/>
    <w:rsid w:val="002E795C"/>
    <w:rsid w:val="003041BA"/>
    <w:rsid w:val="00305714"/>
    <w:rsid w:val="00313E71"/>
    <w:rsid w:val="00321CB7"/>
    <w:rsid w:val="003379A9"/>
    <w:rsid w:val="00350ADF"/>
    <w:rsid w:val="00355623"/>
    <w:rsid w:val="00387F9B"/>
    <w:rsid w:val="003A0419"/>
    <w:rsid w:val="003B7361"/>
    <w:rsid w:val="003C4D3B"/>
    <w:rsid w:val="003D4B6E"/>
    <w:rsid w:val="003E09EA"/>
    <w:rsid w:val="003E412C"/>
    <w:rsid w:val="003F0AC3"/>
    <w:rsid w:val="003F38EF"/>
    <w:rsid w:val="00456251"/>
    <w:rsid w:val="00492870"/>
    <w:rsid w:val="004A2DC3"/>
    <w:rsid w:val="004B3B60"/>
    <w:rsid w:val="004B5DED"/>
    <w:rsid w:val="004C1607"/>
    <w:rsid w:val="004E621E"/>
    <w:rsid w:val="004F2359"/>
    <w:rsid w:val="004F313C"/>
    <w:rsid w:val="00500DE2"/>
    <w:rsid w:val="005069D8"/>
    <w:rsid w:val="0051077F"/>
    <w:rsid w:val="00521B27"/>
    <w:rsid w:val="00522858"/>
    <w:rsid w:val="0055440C"/>
    <w:rsid w:val="0056130A"/>
    <w:rsid w:val="0056162E"/>
    <w:rsid w:val="00563B93"/>
    <w:rsid w:val="00567DB3"/>
    <w:rsid w:val="00581E78"/>
    <w:rsid w:val="00594CF2"/>
    <w:rsid w:val="00595354"/>
    <w:rsid w:val="005B3434"/>
    <w:rsid w:val="005B3C9E"/>
    <w:rsid w:val="005B5092"/>
    <w:rsid w:val="005B7384"/>
    <w:rsid w:val="005D5ED6"/>
    <w:rsid w:val="005E0686"/>
    <w:rsid w:val="005E2884"/>
    <w:rsid w:val="005E40C5"/>
    <w:rsid w:val="005E5050"/>
    <w:rsid w:val="005F2C7B"/>
    <w:rsid w:val="005F43AF"/>
    <w:rsid w:val="005F4D04"/>
    <w:rsid w:val="005F7DA9"/>
    <w:rsid w:val="006054F8"/>
    <w:rsid w:val="0065419A"/>
    <w:rsid w:val="00654220"/>
    <w:rsid w:val="00663B94"/>
    <w:rsid w:val="00677F66"/>
    <w:rsid w:val="00691C4B"/>
    <w:rsid w:val="006A77A0"/>
    <w:rsid w:val="006B63CE"/>
    <w:rsid w:val="006C1014"/>
    <w:rsid w:val="006E0CC3"/>
    <w:rsid w:val="006E4E94"/>
    <w:rsid w:val="006F26CF"/>
    <w:rsid w:val="006F69B2"/>
    <w:rsid w:val="007017D8"/>
    <w:rsid w:val="00730BEE"/>
    <w:rsid w:val="0073101E"/>
    <w:rsid w:val="00735153"/>
    <w:rsid w:val="00741E97"/>
    <w:rsid w:val="00745421"/>
    <w:rsid w:val="00745F96"/>
    <w:rsid w:val="00774E0A"/>
    <w:rsid w:val="00782F29"/>
    <w:rsid w:val="007A4219"/>
    <w:rsid w:val="007B08DF"/>
    <w:rsid w:val="007E0B6E"/>
    <w:rsid w:val="007E4637"/>
    <w:rsid w:val="00800690"/>
    <w:rsid w:val="0080200C"/>
    <w:rsid w:val="00814110"/>
    <w:rsid w:val="0082561A"/>
    <w:rsid w:val="00846B2E"/>
    <w:rsid w:val="0085663C"/>
    <w:rsid w:val="00870717"/>
    <w:rsid w:val="008768AB"/>
    <w:rsid w:val="008870FD"/>
    <w:rsid w:val="008904CC"/>
    <w:rsid w:val="008926F7"/>
    <w:rsid w:val="008A7510"/>
    <w:rsid w:val="008C78BD"/>
    <w:rsid w:val="008D57C5"/>
    <w:rsid w:val="008F099C"/>
    <w:rsid w:val="008F0FA3"/>
    <w:rsid w:val="00900D90"/>
    <w:rsid w:val="00902630"/>
    <w:rsid w:val="00931BD2"/>
    <w:rsid w:val="009354D6"/>
    <w:rsid w:val="00956754"/>
    <w:rsid w:val="009679B0"/>
    <w:rsid w:val="00970A98"/>
    <w:rsid w:val="00977E89"/>
    <w:rsid w:val="00994F2E"/>
    <w:rsid w:val="009A4E79"/>
    <w:rsid w:val="009B1695"/>
    <w:rsid w:val="009B2EEF"/>
    <w:rsid w:val="009C4574"/>
    <w:rsid w:val="009C6A99"/>
    <w:rsid w:val="009C781F"/>
    <w:rsid w:val="009D5296"/>
    <w:rsid w:val="009E6170"/>
    <w:rsid w:val="009F1FD4"/>
    <w:rsid w:val="009F4338"/>
    <w:rsid w:val="009F6D0D"/>
    <w:rsid w:val="00A204A0"/>
    <w:rsid w:val="00A4484F"/>
    <w:rsid w:val="00A61A43"/>
    <w:rsid w:val="00A66D8E"/>
    <w:rsid w:val="00A76D4B"/>
    <w:rsid w:val="00A77C47"/>
    <w:rsid w:val="00A9119C"/>
    <w:rsid w:val="00A94A56"/>
    <w:rsid w:val="00AA4549"/>
    <w:rsid w:val="00AA4D99"/>
    <w:rsid w:val="00AA5B04"/>
    <w:rsid w:val="00AC5144"/>
    <w:rsid w:val="00B13014"/>
    <w:rsid w:val="00B17559"/>
    <w:rsid w:val="00B23E1D"/>
    <w:rsid w:val="00B33978"/>
    <w:rsid w:val="00B33B19"/>
    <w:rsid w:val="00B404E6"/>
    <w:rsid w:val="00B4360D"/>
    <w:rsid w:val="00B43E89"/>
    <w:rsid w:val="00B61EA9"/>
    <w:rsid w:val="00B670D1"/>
    <w:rsid w:val="00B74DCA"/>
    <w:rsid w:val="00B90CE8"/>
    <w:rsid w:val="00BC3903"/>
    <w:rsid w:val="00BD0A6A"/>
    <w:rsid w:val="00BE47E0"/>
    <w:rsid w:val="00BF3D9D"/>
    <w:rsid w:val="00BF75C8"/>
    <w:rsid w:val="00C1762E"/>
    <w:rsid w:val="00C20F36"/>
    <w:rsid w:val="00C25123"/>
    <w:rsid w:val="00C2582A"/>
    <w:rsid w:val="00C30A48"/>
    <w:rsid w:val="00C375A7"/>
    <w:rsid w:val="00C44DFE"/>
    <w:rsid w:val="00C62DF8"/>
    <w:rsid w:val="00C640FB"/>
    <w:rsid w:val="00C86023"/>
    <w:rsid w:val="00C935FD"/>
    <w:rsid w:val="00C94EBA"/>
    <w:rsid w:val="00CB054E"/>
    <w:rsid w:val="00CB417C"/>
    <w:rsid w:val="00CC52D7"/>
    <w:rsid w:val="00CE4DED"/>
    <w:rsid w:val="00CF3BBF"/>
    <w:rsid w:val="00D15B21"/>
    <w:rsid w:val="00D23AB6"/>
    <w:rsid w:val="00D50309"/>
    <w:rsid w:val="00D51AA9"/>
    <w:rsid w:val="00D7264A"/>
    <w:rsid w:val="00D84E43"/>
    <w:rsid w:val="00D870DF"/>
    <w:rsid w:val="00DA30A0"/>
    <w:rsid w:val="00DB0C2F"/>
    <w:rsid w:val="00DB2A0F"/>
    <w:rsid w:val="00DB3BF6"/>
    <w:rsid w:val="00DB56A2"/>
    <w:rsid w:val="00DC31CC"/>
    <w:rsid w:val="00DC728A"/>
    <w:rsid w:val="00DD2F3C"/>
    <w:rsid w:val="00DD4E8C"/>
    <w:rsid w:val="00DD65B5"/>
    <w:rsid w:val="00DF6907"/>
    <w:rsid w:val="00E1059D"/>
    <w:rsid w:val="00E155DF"/>
    <w:rsid w:val="00E15FF4"/>
    <w:rsid w:val="00E246E1"/>
    <w:rsid w:val="00E314CE"/>
    <w:rsid w:val="00E41EA0"/>
    <w:rsid w:val="00E514EB"/>
    <w:rsid w:val="00E52823"/>
    <w:rsid w:val="00E52B10"/>
    <w:rsid w:val="00E600D0"/>
    <w:rsid w:val="00E7192D"/>
    <w:rsid w:val="00E82AB5"/>
    <w:rsid w:val="00E944FA"/>
    <w:rsid w:val="00E9797A"/>
    <w:rsid w:val="00EB0DB4"/>
    <w:rsid w:val="00EE0436"/>
    <w:rsid w:val="00F41324"/>
    <w:rsid w:val="00F57C12"/>
    <w:rsid w:val="00F609FD"/>
    <w:rsid w:val="00F64BD9"/>
    <w:rsid w:val="00F7052D"/>
    <w:rsid w:val="00F771E3"/>
    <w:rsid w:val="00F8162C"/>
    <w:rsid w:val="00F82713"/>
    <w:rsid w:val="00F84F36"/>
    <w:rsid w:val="00F859AB"/>
    <w:rsid w:val="00F907A7"/>
    <w:rsid w:val="00F950D0"/>
    <w:rsid w:val="00FA0110"/>
    <w:rsid w:val="00FA2C26"/>
    <w:rsid w:val="00FD1F12"/>
    <w:rsid w:val="00FD412B"/>
    <w:rsid w:val="00FF26C8"/>
    <w:rsid w:val="016D581F"/>
    <w:rsid w:val="030F2BA7"/>
    <w:rsid w:val="04240CEE"/>
    <w:rsid w:val="065551D3"/>
    <w:rsid w:val="06C37561"/>
    <w:rsid w:val="0A236A5A"/>
    <w:rsid w:val="10992483"/>
    <w:rsid w:val="111D4539"/>
    <w:rsid w:val="13297F9C"/>
    <w:rsid w:val="134727C6"/>
    <w:rsid w:val="141A5102"/>
    <w:rsid w:val="159E25E1"/>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8980A6C"/>
    <w:rsid w:val="39E872E9"/>
    <w:rsid w:val="3ABE1FB8"/>
    <w:rsid w:val="3C753CC7"/>
    <w:rsid w:val="3F2C3B54"/>
    <w:rsid w:val="40990310"/>
    <w:rsid w:val="459870AF"/>
    <w:rsid w:val="45ED49CE"/>
    <w:rsid w:val="46F0109E"/>
    <w:rsid w:val="47475A63"/>
    <w:rsid w:val="4E276A76"/>
    <w:rsid w:val="509017BA"/>
    <w:rsid w:val="51482FC3"/>
    <w:rsid w:val="52830253"/>
    <w:rsid w:val="541C469D"/>
    <w:rsid w:val="5BE61B5E"/>
    <w:rsid w:val="602D020F"/>
    <w:rsid w:val="64C67B5C"/>
    <w:rsid w:val="66F47EBC"/>
    <w:rsid w:val="681903E9"/>
    <w:rsid w:val="68823415"/>
    <w:rsid w:val="6898111C"/>
    <w:rsid w:val="6A485270"/>
    <w:rsid w:val="6D05415D"/>
    <w:rsid w:val="6F66394D"/>
    <w:rsid w:val="73193673"/>
    <w:rsid w:val="74543F24"/>
    <w:rsid w:val="74BE328D"/>
    <w:rsid w:val="75523113"/>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41BA"/>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3041BA"/>
    <w:rPr>
      <w:b/>
      <w:bCs/>
    </w:rPr>
  </w:style>
  <w:style w:type="paragraph" w:styleId="a4">
    <w:name w:val="annotation text"/>
    <w:basedOn w:val="a"/>
    <w:link w:val="Char0"/>
    <w:uiPriority w:val="99"/>
    <w:unhideWhenUsed/>
    <w:qFormat/>
    <w:rsid w:val="003041BA"/>
    <w:pPr>
      <w:jc w:val="left"/>
    </w:pPr>
  </w:style>
  <w:style w:type="paragraph" w:styleId="a5">
    <w:name w:val="Balloon Text"/>
    <w:basedOn w:val="a"/>
    <w:link w:val="Char1"/>
    <w:uiPriority w:val="99"/>
    <w:unhideWhenUsed/>
    <w:qFormat/>
    <w:rsid w:val="003041BA"/>
    <w:rPr>
      <w:sz w:val="18"/>
      <w:szCs w:val="18"/>
    </w:rPr>
  </w:style>
  <w:style w:type="paragraph" w:styleId="a6">
    <w:name w:val="footer"/>
    <w:basedOn w:val="a"/>
    <w:link w:val="Char2"/>
    <w:uiPriority w:val="99"/>
    <w:unhideWhenUsed/>
    <w:qFormat/>
    <w:rsid w:val="003041BA"/>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3041BA"/>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3041BA"/>
    <w:pPr>
      <w:snapToGrid w:val="0"/>
      <w:jc w:val="left"/>
    </w:pPr>
    <w:rPr>
      <w:sz w:val="18"/>
    </w:rPr>
  </w:style>
  <w:style w:type="paragraph" w:styleId="a9">
    <w:name w:val="Normal (Web)"/>
    <w:basedOn w:val="a"/>
    <w:qFormat/>
    <w:rsid w:val="003041BA"/>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3041BA"/>
  </w:style>
  <w:style w:type="character" w:styleId="ab">
    <w:name w:val="annotation reference"/>
    <w:uiPriority w:val="99"/>
    <w:unhideWhenUsed/>
    <w:qFormat/>
    <w:rsid w:val="003041BA"/>
    <w:rPr>
      <w:sz w:val="21"/>
      <w:szCs w:val="21"/>
    </w:rPr>
  </w:style>
  <w:style w:type="character" w:styleId="ac">
    <w:name w:val="footnote reference"/>
    <w:uiPriority w:val="99"/>
    <w:unhideWhenUsed/>
    <w:qFormat/>
    <w:rsid w:val="003041BA"/>
    <w:rPr>
      <w:vertAlign w:val="superscript"/>
    </w:rPr>
  </w:style>
  <w:style w:type="character" w:customStyle="1" w:styleId="Char1">
    <w:name w:val="批注框文本 Char"/>
    <w:link w:val="a5"/>
    <w:uiPriority w:val="99"/>
    <w:semiHidden/>
    <w:qFormat/>
    <w:rsid w:val="003041BA"/>
    <w:rPr>
      <w:kern w:val="2"/>
      <w:sz w:val="18"/>
      <w:szCs w:val="18"/>
    </w:rPr>
  </w:style>
  <w:style w:type="character" w:customStyle="1" w:styleId="Char3">
    <w:name w:val="页眉 Char"/>
    <w:link w:val="a7"/>
    <w:uiPriority w:val="99"/>
    <w:semiHidden/>
    <w:qFormat/>
    <w:locked/>
    <w:rsid w:val="003041BA"/>
    <w:rPr>
      <w:rFonts w:ascii="Times New Roman" w:hAnsi="Times New Roman" w:cs="Times New Roman" w:hint="default"/>
      <w:sz w:val="18"/>
      <w:szCs w:val="18"/>
    </w:rPr>
  </w:style>
  <w:style w:type="character" w:customStyle="1" w:styleId="Char">
    <w:name w:val="批注主题 Char"/>
    <w:link w:val="a3"/>
    <w:uiPriority w:val="99"/>
    <w:semiHidden/>
    <w:qFormat/>
    <w:rsid w:val="003041BA"/>
    <w:rPr>
      <w:b/>
      <w:bCs/>
      <w:kern w:val="2"/>
      <w:sz w:val="21"/>
      <w:szCs w:val="22"/>
    </w:rPr>
  </w:style>
  <w:style w:type="character" w:customStyle="1" w:styleId="Char2">
    <w:name w:val="页脚 Char"/>
    <w:link w:val="a6"/>
    <w:uiPriority w:val="99"/>
    <w:semiHidden/>
    <w:qFormat/>
    <w:locked/>
    <w:rsid w:val="003041BA"/>
    <w:rPr>
      <w:rFonts w:ascii="Times New Roman" w:hAnsi="Times New Roman" w:cs="Times New Roman" w:hint="default"/>
      <w:sz w:val="18"/>
      <w:szCs w:val="18"/>
    </w:rPr>
  </w:style>
  <w:style w:type="character" w:customStyle="1" w:styleId="Char0">
    <w:name w:val="批注文字 Char"/>
    <w:link w:val="a4"/>
    <w:uiPriority w:val="99"/>
    <w:qFormat/>
    <w:rsid w:val="003041BA"/>
    <w:rPr>
      <w:kern w:val="2"/>
      <w:sz w:val="21"/>
      <w:szCs w:val="22"/>
    </w:rPr>
  </w:style>
  <w:style w:type="paragraph" w:customStyle="1" w:styleId="zhongyaotishi">
    <w:name w:val="zhongyaotishi"/>
    <w:basedOn w:val="a"/>
    <w:qFormat/>
    <w:rsid w:val="003041BA"/>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3041B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3041B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3041B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3041B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3041BA"/>
    <w:pPr>
      <w:widowControl w:val="0"/>
      <w:jc w:val="center"/>
    </w:pPr>
    <w:rPr>
      <w:kern w:val="2"/>
      <w:sz w:val="33"/>
      <w:szCs w:val="22"/>
    </w:rPr>
  </w:style>
  <w:style w:type="paragraph" w:customStyle="1" w:styleId="biaogeleft">
    <w:name w:val="biaoge_left"/>
    <w:basedOn w:val="a"/>
    <w:qFormat/>
    <w:rsid w:val="003041B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3041B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3041B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3041BA"/>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3041BA"/>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3041BA"/>
    <w:pPr>
      <w:widowControl w:val="0"/>
    </w:pPr>
    <w:rPr>
      <w:kern w:val="2"/>
      <w:sz w:val="21"/>
      <w:szCs w:val="22"/>
    </w:rPr>
  </w:style>
  <w:style w:type="paragraph" w:customStyle="1" w:styleId="neirong">
    <w:name w:val="neirong"/>
    <w:basedOn w:val="a"/>
    <w:qFormat/>
    <w:rsid w:val="003041B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3041BA"/>
    <w:pPr>
      <w:jc w:val="both"/>
    </w:pPr>
    <w:rPr>
      <w:kern w:val="2"/>
      <w:sz w:val="21"/>
      <w:szCs w:val="21"/>
    </w:rPr>
  </w:style>
  <w:style w:type="paragraph" w:customStyle="1" w:styleId="Default">
    <w:name w:val="Default"/>
    <w:qFormat/>
    <w:rsid w:val="003041BA"/>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380</Words>
  <Characters>2169</Characters>
  <Application>Microsoft Office Word</Application>
  <DocSecurity>0</DocSecurity>
  <Lines>18</Lines>
  <Paragraphs>5</Paragraphs>
  <ScaleCrop>false</ScaleCrop>
  <Company>微软中国</Company>
  <LinksUpToDate>false</LinksUpToDate>
  <CharactersWithSpaces>2544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2022-07-26T07:21:00Z</dcterms:created>
  <dc:creator>总行金融市场部本币投资交易部梅浩超</dc:creator>
  <cp:lastModifiedBy>未定义</cp:lastModifiedBy>
  <cp:lastPrinted>2019-09-11T00:56:00Z</cp:lastPrinted>
  <dcterms:modified xsi:type="dcterms:W3CDTF">2024-04-28T07:57:00Z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