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新宋体" w:hAnsi="新宋体" w:eastAsia="新宋体" w:cs="新宋体"/>
          <w:b/>
          <w:sz w:val="44"/>
          <w:szCs w:val="44"/>
          <w:highlight w:val="none"/>
          <w:lang w:val="en-US" w:eastAsia="zh-CN"/>
        </w:rPr>
      </w:pPr>
      <w:bookmarkStart w:id="1" w:name="_GoBack"/>
      <w:bookmarkEnd w:id="1"/>
      <w:r>
        <w:rPr>
          <w:rFonts w:hint="eastAsia" w:ascii="新宋体" w:hAnsi="新宋体" w:eastAsia="新宋体" w:cs="新宋体"/>
          <w:b/>
          <w:sz w:val="44"/>
          <w:szCs w:val="44"/>
          <w:highlight w:val="none"/>
          <w:lang w:val="en-US" w:eastAsia="zh-CN"/>
        </w:rPr>
        <w:t>江苏泰兴</w:t>
      </w:r>
      <w:r>
        <w:rPr>
          <w:rFonts w:hint="eastAsia" w:ascii="新宋体" w:hAnsi="新宋体" w:eastAsia="新宋体" w:cs="新宋体"/>
          <w:b/>
          <w:sz w:val="44"/>
          <w:szCs w:val="44"/>
          <w:highlight w:val="none"/>
        </w:rPr>
        <w:t>农村商业银行</w:t>
      </w:r>
      <w:r>
        <w:rPr>
          <w:rFonts w:hint="eastAsia" w:ascii="新宋体" w:hAnsi="新宋体" w:eastAsia="新宋体" w:cs="新宋体"/>
          <w:b/>
          <w:sz w:val="44"/>
          <w:szCs w:val="44"/>
          <w:highlight w:val="none"/>
          <w:lang w:val="en-US" w:eastAsia="zh-CN"/>
        </w:rPr>
        <w:t>股份有限公司</w:t>
      </w:r>
    </w:p>
    <w:p>
      <w:pPr>
        <w:jc w:val="center"/>
        <w:rPr>
          <w:rFonts w:ascii="新宋体" w:hAnsi="新宋体" w:eastAsia="新宋体" w:cs="新宋体"/>
          <w:b/>
          <w:sz w:val="44"/>
          <w:szCs w:val="44"/>
          <w:highlight w:val="none"/>
        </w:rPr>
      </w:pPr>
      <w:r>
        <w:rPr>
          <w:rFonts w:hint="eastAsia" w:ascii="新宋体" w:hAnsi="新宋体" w:eastAsia="新宋体" w:cs="新宋体"/>
          <w:b/>
          <w:sz w:val="44"/>
          <w:szCs w:val="44"/>
          <w:highlight w:val="none"/>
        </w:rPr>
        <w:t>圆鼎贷记卡章程</w:t>
      </w:r>
    </w:p>
    <w:p>
      <w:pPr>
        <w:pStyle w:val="7"/>
        <w:spacing w:line="240" w:lineRule="auto"/>
        <w:jc w:val="center"/>
        <w:rPr>
          <w:rFonts w:ascii="新宋体" w:hAnsi="新宋体" w:eastAsia="新宋体" w:cs="新宋体"/>
          <w:b/>
          <w:sz w:val="32"/>
          <w:szCs w:val="32"/>
          <w:highlight w:val="no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rPr>
        <w:t xml:space="preserve">第一章 </w:t>
      </w:r>
      <w:r>
        <w:rPr>
          <w:rFonts w:ascii="新宋体" w:hAnsi="新宋体" w:eastAsia="新宋体" w:cs="新宋体"/>
          <w:b/>
          <w:kern w:val="0"/>
          <w:sz w:val="32"/>
          <w:szCs w:val="32"/>
          <w:highlight w:val="none"/>
        </w:rPr>
        <w:t> </w:t>
      </w:r>
      <w:r>
        <w:rPr>
          <w:rFonts w:hint="eastAsia" w:ascii="新宋体" w:hAnsi="新宋体" w:eastAsia="新宋体" w:cs="新宋体"/>
          <w:b/>
          <w:kern w:val="0"/>
          <w:sz w:val="32"/>
          <w:szCs w:val="32"/>
          <w:highlight w:val="none"/>
        </w:rPr>
        <w:t>总</w:t>
      </w:r>
      <w:r>
        <w:rPr>
          <w:rFonts w:ascii="新宋体" w:hAnsi="新宋体" w:eastAsia="新宋体" w:cs="新宋体"/>
          <w:b/>
          <w:kern w:val="0"/>
          <w:sz w:val="32"/>
          <w:szCs w:val="32"/>
          <w:highlight w:val="none"/>
        </w:rPr>
        <w:t> </w:t>
      </w:r>
      <w:r>
        <w:rPr>
          <w:rFonts w:hint="eastAsia" w:ascii="新宋体" w:hAnsi="新宋体" w:eastAsia="新宋体" w:cs="新宋体"/>
          <w:b/>
          <w:kern w:val="0"/>
          <w:sz w:val="32"/>
          <w:szCs w:val="32"/>
          <w:highlight w:val="none"/>
        </w:rPr>
        <w:t xml:space="preserve"> 则</w:t>
      </w:r>
    </w:p>
    <w:p>
      <w:pPr>
        <w:pStyle w:val="16"/>
        <w:ind w:firstLine="643" w:firstLineChars="200"/>
        <w:rPr>
          <w:rFonts w:ascii="新宋体" w:hAnsi="新宋体" w:eastAsia="新宋体" w:cs="新宋体"/>
          <w:color w:val="auto"/>
          <w:highlight w:val="none"/>
        </w:rPr>
      </w:pPr>
      <w:r>
        <w:rPr>
          <w:rFonts w:hint="eastAsia" w:ascii="新宋体" w:hAnsi="新宋体" w:eastAsia="新宋体" w:cs="新宋体"/>
          <w:b/>
          <w:color w:val="auto"/>
          <w:kern w:val="0"/>
          <w:sz w:val="32"/>
          <w:szCs w:val="32"/>
          <w:highlight w:val="none"/>
        </w:rPr>
        <w:t>第一条</w:t>
      </w:r>
      <w:r>
        <w:rPr>
          <w:rFonts w:ascii="新宋体" w:hAnsi="新宋体" w:eastAsia="新宋体" w:cs="新宋体"/>
          <w:b/>
          <w:color w:val="auto"/>
          <w:kern w:val="0"/>
          <w:sz w:val="32"/>
          <w:szCs w:val="32"/>
          <w:highlight w:val="none"/>
        </w:rPr>
        <w:t xml:space="preserve"> </w:t>
      </w:r>
      <w:r>
        <w:rPr>
          <w:rFonts w:hint="eastAsia" w:ascii="新宋体" w:hAnsi="新宋体" w:eastAsia="新宋体" w:cs="新宋体"/>
          <w:color w:val="auto"/>
          <w:kern w:val="0"/>
          <w:sz w:val="32"/>
          <w:szCs w:val="32"/>
          <w:highlight w:val="none"/>
        </w:rPr>
        <w:t>为向社会提供优质的消费信用和支付结算服务，保护贷记卡业务各方当事人的合法权益，根据国家有关法律、法规、规章制度，特制定本章程。</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rPr>
        <w:t>第二条</w:t>
      </w:r>
      <w:r>
        <w:rPr>
          <w:rFonts w:ascii="新宋体" w:hAnsi="新宋体" w:eastAsia="新宋体" w:cs="新宋体"/>
          <w:b/>
          <w:snapToGrid w:val="0"/>
          <w:sz w:val="32"/>
          <w:szCs w:val="32"/>
          <w:highlight w:val="none"/>
        </w:rPr>
        <w:t xml:space="preserve"> </w:t>
      </w:r>
      <w:r>
        <w:rPr>
          <w:rFonts w:hint="eastAsia" w:ascii="新宋体" w:hAnsi="新宋体" w:eastAsia="新宋体" w:cs="新宋体"/>
          <w:snapToGrid w:val="0"/>
          <w:sz w:val="32"/>
          <w:szCs w:val="32"/>
          <w:highlight w:val="none"/>
        </w:rPr>
        <w:t>圆鼎贷记卡品牌是由</w:t>
      </w:r>
      <w:r>
        <w:rPr>
          <w:rFonts w:hint="eastAsia" w:ascii="新宋体" w:hAnsi="新宋体" w:eastAsia="新宋体" w:cs="新宋体"/>
          <w:snapToGrid w:val="0"/>
          <w:sz w:val="32"/>
          <w:szCs w:val="32"/>
          <w:highlight w:val="none"/>
          <w:vertAlign w:val="baseline"/>
          <w:lang w:val="en-US" w:eastAsia="zh-CN"/>
        </w:rPr>
        <w:t>江苏泰兴农村商业银行股份有限公司（以下简称“本行”）</w:t>
      </w:r>
      <w:r>
        <w:rPr>
          <w:rFonts w:hint="eastAsia" w:ascii="新宋体" w:hAnsi="新宋体" w:eastAsia="新宋体" w:cs="新宋体"/>
          <w:snapToGrid w:val="0"/>
          <w:sz w:val="32"/>
          <w:szCs w:val="32"/>
          <w:highlight w:val="none"/>
          <w:vertAlign w:val="baseline"/>
        </w:rPr>
        <w:t>委托</w:t>
      </w:r>
      <w:r>
        <w:rPr>
          <w:rFonts w:hint="eastAsia" w:ascii="新宋体" w:hAnsi="新宋体" w:eastAsia="新宋体" w:cs="新宋体"/>
          <w:snapToGrid w:val="0"/>
          <w:sz w:val="32"/>
          <w:szCs w:val="32"/>
          <w:highlight w:val="none"/>
          <w:vertAlign w:val="baseline"/>
          <w:lang w:val="en-US" w:eastAsia="zh-CN"/>
        </w:rPr>
        <w:t>江苏农村商业联合银行股份有限公司</w:t>
      </w:r>
      <w:r>
        <w:rPr>
          <w:rFonts w:hint="eastAsia" w:ascii="新宋体" w:hAnsi="新宋体" w:eastAsia="新宋体" w:cs="新宋体"/>
          <w:snapToGrid w:val="0"/>
          <w:sz w:val="32"/>
          <w:szCs w:val="32"/>
          <w:highlight w:val="none"/>
          <w:vertAlign w:val="baseline"/>
        </w:rPr>
        <w:t>申请，供</w:t>
      </w:r>
      <w:r>
        <w:rPr>
          <w:rFonts w:hint="eastAsia" w:ascii="新宋体" w:hAnsi="新宋体" w:eastAsia="新宋体" w:cs="新宋体"/>
          <w:snapToGrid w:val="0"/>
          <w:sz w:val="32"/>
          <w:szCs w:val="32"/>
          <w:highlight w:val="none"/>
          <w:vertAlign w:val="baseline"/>
          <w:lang w:val="en-US" w:eastAsia="zh-CN"/>
        </w:rPr>
        <w:t>本行</w:t>
      </w:r>
      <w:r>
        <w:rPr>
          <w:rFonts w:hint="eastAsia" w:ascii="新宋体" w:hAnsi="新宋体" w:eastAsia="新宋体" w:cs="新宋体"/>
          <w:snapToGrid w:val="0"/>
          <w:sz w:val="32"/>
          <w:szCs w:val="32"/>
          <w:highlight w:val="none"/>
          <w:vertAlign w:val="baseline"/>
        </w:rPr>
        <w:t>发行使用的统一贷记卡品牌。</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napToGrid w:val="0"/>
          <w:sz w:val="32"/>
          <w:szCs w:val="32"/>
          <w:highlight w:val="none"/>
          <w:vertAlign w:val="baseline"/>
        </w:rPr>
        <w:t>第三条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sz w:val="32"/>
          <w:szCs w:val="32"/>
          <w:highlight w:val="none"/>
          <w:vertAlign w:val="baseline"/>
        </w:rPr>
        <w:t>圆鼎贷记卡是</w:t>
      </w:r>
      <w:r>
        <w:rPr>
          <w:rFonts w:hint="eastAsia" w:ascii="新宋体" w:hAnsi="新宋体" w:eastAsia="新宋体" w:cs="新宋体"/>
          <w:sz w:val="32"/>
          <w:szCs w:val="32"/>
          <w:highlight w:val="none"/>
          <w:vertAlign w:val="baseline"/>
          <w:lang w:val="en-US" w:eastAsia="zh-CN"/>
        </w:rPr>
        <w:t>本行</w:t>
      </w:r>
      <w:r>
        <w:rPr>
          <w:rFonts w:hint="eastAsia" w:ascii="新宋体" w:hAnsi="新宋体" w:eastAsia="新宋体" w:cs="新宋体"/>
          <w:sz w:val="32"/>
          <w:szCs w:val="32"/>
          <w:highlight w:val="none"/>
          <w:vertAlign w:val="baseline"/>
        </w:rPr>
        <w:t>向社会公众公开发行，给予持卡人一定信用额度，持卡人可在信用额度内透支使用，具有消费、存取现金、转账结算、分期交易等全部</w:t>
      </w:r>
      <w:r>
        <w:rPr>
          <w:rFonts w:ascii="新宋体" w:hAnsi="新宋体" w:eastAsia="新宋体" w:cs="新宋体"/>
          <w:sz w:val="32"/>
          <w:szCs w:val="32"/>
          <w:highlight w:val="none"/>
          <w:vertAlign w:val="baseline"/>
        </w:rPr>
        <w:t>或部分</w:t>
      </w:r>
      <w:r>
        <w:rPr>
          <w:rFonts w:hint="eastAsia" w:ascii="新宋体" w:hAnsi="新宋体" w:eastAsia="新宋体" w:cs="新宋体"/>
          <w:sz w:val="32"/>
          <w:szCs w:val="32"/>
          <w:highlight w:val="none"/>
          <w:vertAlign w:val="baseline"/>
        </w:rPr>
        <w:t>功能的支付结算工具。</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第四条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圆鼎贷记卡为人民币银联标准卡。</w:t>
      </w:r>
      <w:r>
        <w:rPr>
          <w:rFonts w:hint="eastAsia" w:ascii="新宋体" w:hAnsi="新宋体" w:eastAsia="新宋体" w:cs="新宋体"/>
          <w:sz w:val="32"/>
          <w:szCs w:val="32"/>
          <w:highlight w:val="none"/>
          <w:vertAlign w:val="baseline"/>
          <w:lang w:val="en-US" w:eastAsia="zh-CN"/>
        </w:rPr>
        <w:t>部分</w:t>
      </w:r>
      <w:r>
        <w:rPr>
          <w:rFonts w:hint="eastAsia" w:ascii="新宋体" w:hAnsi="新宋体" w:eastAsia="新宋体" w:cs="新宋体"/>
          <w:sz w:val="32"/>
          <w:szCs w:val="32"/>
          <w:highlight w:val="none"/>
          <w:vertAlign w:val="baseline"/>
        </w:rPr>
        <w:t>芯片</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IC</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贷记</w:t>
      </w:r>
      <w:r>
        <w:rPr>
          <w:rFonts w:hint="eastAsia" w:ascii="新宋体" w:hAnsi="新宋体" w:eastAsia="新宋体" w:cs="新宋体"/>
          <w:sz w:val="32"/>
          <w:szCs w:val="32"/>
          <w:highlight w:val="none"/>
          <w:vertAlign w:val="baseline"/>
        </w:rPr>
        <w:t>卡具备电子现金支付功能</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包括小额脱机消费、圈存、圈提、查询等</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信息存储功能</w:t>
      </w:r>
      <w:r>
        <w:rPr>
          <w:rFonts w:hint="eastAsia" w:ascii="新宋体" w:hAnsi="新宋体" w:eastAsia="新宋体" w:cs="新宋体"/>
          <w:sz w:val="32"/>
          <w:szCs w:val="32"/>
          <w:highlight w:val="none"/>
          <w:vertAlign w:val="baseline"/>
          <w:lang w:eastAsia="zh-CN"/>
        </w:rPr>
        <w:t>，</w:t>
      </w:r>
      <w:r>
        <w:rPr>
          <w:rFonts w:ascii="新宋体" w:hAnsi="新宋体" w:eastAsia="新宋体" w:cs="新宋体"/>
          <w:sz w:val="32"/>
          <w:szCs w:val="32"/>
          <w:highlight w:val="none"/>
          <w:vertAlign w:val="baseline"/>
        </w:rPr>
        <w:t>包括记录持卡人的基础信息和相关行业应用信息等。</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z w:val="32"/>
          <w:szCs w:val="32"/>
          <w:highlight w:val="none"/>
          <w:vertAlign w:val="baseline"/>
        </w:rPr>
        <w:t>第五条</w:t>
      </w:r>
      <w:r>
        <w:rPr>
          <w:rFonts w:ascii="新宋体" w:hAnsi="新宋体" w:eastAsia="新宋体" w:cs="新宋体"/>
          <w:snapToGrid w:val="0"/>
          <w:sz w:val="32"/>
          <w:szCs w:val="32"/>
          <w:highlight w:val="none"/>
          <w:vertAlign w:val="baseline"/>
        </w:rPr>
        <w:t xml:space="preserve"> 持卡人个人名下的多个贷记卡账户授信额度、各种分期付款汇总授信额度、附属卡授信额度等受</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对持卡人设定的总授信额度上限控制。</w:t>
      </w:r>
    </w:p>
    <w:p>
      <w:pPr>
        <w:widowControl/>
        <w:spacing w:line="240" w:lineRule="auto"/>
        <w:ind w:firstLine="643" w:firstLineChars="200"/>
        <w:jc w:val="left"/>
        <w:rPr>
          <w:rFonts w:ascii="新宋体" w:hAnsi="新宋体" w:eastAsia="新宋体" w:cs="新宋体"/>
          <w:snapToGrid w:val="0"/>
          <w:sz w:val="32"/>
          <w:szCs w:val="32"/>
          <w:highlight w:val="none"/>
        </w:rPr>
      </w:pPr>
      <w:r>
        <w:rPr>
          <w:rFonts w:hint="eastAsia" w:ascii="新宋体" w:hAnsi="新宋体" w:eastAsia="新宋体" w:cs="新宋体"/>
          <w:b/>
          <w:sz w:val="32"/>
          <w:szCs w:val="32"/>
          <w:highlight w:val="none"/>
          <w:vertAlign w:val="baseline"/>
        </w:rPr>
        <w:t>第六条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napToGrid w:val="0"/>
          <w:sz w:val="32"/>
          <w:szCs w:val="32"/>
          <w:highlight w:val="none"/>
          <w:vertAlign w:val="baseline"/>
          <w:lang w:val="en-US" w:eastAsia="zh-CN"/>
        </w:rPr>
        <w:t>本行</w:t>
      </w:r>
      <w:r>
        <w:rPr>
          <w:rFonts w:hint="eastAsia" w:ascii="新宋体" w:hAnsi="新宋体" w:eastAsia="新宋体" w:cs="新宋体"/>
          <w:snapToGrid w:val="0"/>
          <w:sz w:val="32"/>
          <w:szCs w:val="32"/>
          <w:highlight w:val="none"/>
          <w:vertAlign w:val="baseline"/>
        </w:rPr>
        <w:t>、持卡人、担保人均须遵守本章程。</w:t>
      </w:r>
    </w:p>
    <w:p>
      <w:pPr>
        <w:pStyle w:val="7"/>
        <w:spacing w:line="240" w:lineRule="auto"/>
        <w:ind w:firstLine="643" w:firstLineChars="200"/>
        <w:rPr>
          <w:rFonts w:ascii="新宋体" w:hAnsi="新宋体" w:eastAsia="新宋体" w:cs="新宋体"/>
          <w:kern w:val="2"/>
          <w:sz w:val="32"/>
          <w:szCs w:val="32"/>
          <w:highlight w:val="none"/>
        </w:rPr>
      </w:pPr>
      <w:r>
        <w:rPr>
          <w:rFonts w:hint="eastAsia" w:ascii="新宋体" w:hAnsi="新宋体" w:eastAsia="新宋体" w:cs="新宋体"/>
          <w:b/>
          <w:kern w:val="2"/>
          <w:sz w:val="32"/>
          <w:szCs w:val="32"/>
          <w:highlight w:val="none"/>
          <w:vertAlign w:val="baseline"/>
        </w:rPr>
        <w:t>第七条</w:t>
      </w:r>
      <w:r>
        <w:rPr>
          <w:rFonts w:ascii="新宋体" w:hAnsi="新宋体" w:eastAsia="新宋体" w:cs="新宋体"/>
          <w:kern w:val="2"/>
          <w:sz w:val="32"/>
          <w:szCs w:val="32"/>
          <w:highlight w:val="none"/>
          <w:vertAlign w:val="baseline"/>
        </w:rPr>
        <w:t> </w:t>
      </w:r>
      <w:r>
        <w:rPr>
          <w:rFonts w:hint="eastAsia" w:ascii="新宋体" w:hAnsi="新宋体" w:eastAsia="新宋体" w:cs="新宋体"/>
          <w:kern w:val="2"/>
          <w:sz w:val="32"/>
          <w:szCs w:val="32"/>
          <w:highlight w:val="none"/>
          <w:vertAlign w:val="baseline"/>
        </w:rPr>
        <w:t>本章程涉及的部分名词遵从如下定义：</w:t>
      </w:r>
    </w:p>
    <w:p>
      <w:pPr>
        <w:pStyle w:val="7"/>
        <w:spacing w:line="240" w:lineRule="auto"/>
        <w:ind w:firstLine="640" w:firstLineChars="200"/>
        <w:rPr>
          <w:rFonts w:ascii="新宋体" w:hAnsi="新宋体" w:eastAsia="新宋体" w:cs="新宋体"/>
          <w:kern w:val="2"/>
          <w:sz w:val="32"/>
          <w:szCs w:val="32"/>
          <w:highlight w:val="none"/>
        </w:rPr>
      </w:pPr>
      <w:r>
        <w:rPr>
          <w:rFonts w:hint="eastAsia" w:ascii="新宋体" w:hAnsi="新宋体" w:eastAsia="新宋体" w:cs="新宋体"/>
          <w:kern w:val="2"/>
          <w:sz w:val="32"/>
          <w:szCs w:val="32"/>
          <w:highlight w:val="none"/>
          <w:vertAlign w:val="baseline"/>
        </w:rPr>
        <w:t>申请人：指向</w:t>
      </w:r>
      <w:r>
        <w:rPr>
          <w:rFonts w:hint="eastAsia" w:ascii="新宋体" w:hAnsi="新宋体" w:eastAsia="新宋体" w:cs="新宋体"/>
          <w:kern w:val="2"/>
          <w:sz w:val="32"/>
          <w:szCs w:val="32"/>
          <w:highlight w:val="none"/>
          <w:vertAlign w:val="baseline"/>
          <w:lang w:val="en-US" w:eastAsia="zh-CN"/>
        </w:rPr>
        <w:t>本行</w:t>
      </w:r>
      <w:r>
        <w:rPr>
          <w:rFonts w:hint="eastAsia" w:ascii="新宋体" w:hAnsi="新宋体" w:eastAsia="新宋体" w:cs="新宋体"/>
          <w:kern w:val="2"/>
          <w:sz w:val="32"/>
          <w:szCs w:val="32"/>
          <w:highlight w:val="none"/>
          <w:vertAlign w:val="baseline"/>
        </w:rPr>
        <w:t>申请贷记卡的申请者本人，如无特殊说明，包括主卡申请人和附属卡申请人。</w:t>
      </w:r>
    </w:p>
    <w:p>
      <w:pPr>
        <w:pStyle w:val="7"/>
        <w:spacing w:line="240" w:lineRule="auto"/>
        <w:ind w:firstLine="640" w:firstLineChars="200"/>
        <w:rPr>
          <w:rFonts w:ascii="新宋体" w:hAnsi="新宋体" w:eastAsia="新宋体" w:cs="新宋体"/>
          <w:kern w:val="2"/>
          <w:sz w:val="32"/>
          <w:szCs w:val="32"/>
          <w:highlight w:val="none"/>
        </w:rPr>
      </w:pPr>
      <w:r>
        <w:rPr>
          <w:rFonts w:hint="eastAsia" w:ascii="新宋体" w:hAnsi="新宋体" w:eastAsia="新宋体" w:cs="新宋体"/>
          <w:kern w:val="2"/>
          <w:sz w:val="32"/>
          <w:szCs w:val="32"/>
          <w:highlight w:val="none"/>
          <w:vertAlign w:val="baseline"/>
        </w:rPr>
        <w:t>持卡人：指向</w:t>
      </w:r>
      <w:r>
        <w:rPr>
          <w:rFonts w:hint="eastAsia" w:ascii="新宋体" w:hAnsi="新宋体" w:eastAsia="新宋体" w:cs="新宋体"/>
          <w:kern w:val="2"/>
          <w:sz w:val="32"/>
          <w:szCs w:val="32"/>
          <w:highlight w:val="none"/>
          <w:vertAlign w:val="baseline"/>
          <w:lang w:val="en-US" w:eastAsia="zh-CN"/>
        </w:rPr>
        <w:t>本行</w:t>
      </w:r>
      <w:r>
        <w:rPr>
          <w:rFonts w:hint="eastAsia" w:ascii="新宋体" w:hAnsi="新宋体" w:eastAsia="新宋体" w:cs="新宋体"/>
          <w:kern w:val="2"/>
          <w:sz w:val="32"/>
          <w:szCs w:val="32"/>
          <w:highlight w:val="none"/>
          <w:vertAlign w:val="baseline"/>
        </w:rPr>
        <w:t>申请个人卡并获得卡片核发的申请者本人，包括主卡持卡人和附属卡持卡人。贷记卡卡片仅限持卡人本人使用，不得出租和转借。</w:t>
      </w:r>
    </w:p>
    <w:p>
      <w:pPr>
        <w:pStyle w:val="7"/>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kern w:val="0"/>
          <w:sz w:val="32"/>
          <w:szCs w:val="32"/>
          <w:highlight w:val="none"/>
          <w:vertAlign w:val="baseline"/>
        </w:rPr>
        <w:t>信用额度：也称账户授信额度，指</w:t>
      </w:r>
      <w:r>
        <w:rPr>
          <w:rFonts w:hint="eastAsia" w:ascii="新宋体" w:hAnsi="新宋体" w:eastAsia="新宋体" w:cs="新宋体"/>
          <w:kern w:val="0"/>
          <w:sz w:val="32"/>
          <w:szCs w:val="32"/>
          <w:highlight w:val="none"/>
          <w:vertAlign w:val="baseline"/>
          <w:lang w:val="en-US" w:eastAsia="zh-CN"/>
        </w:rPr>
        <w:t>本行</w:t>
      </w:r>
      <w:r>
        <w:rPr>
          <w:rFonts w:hint="eastAsia" w:ascii="新宋体" w:hAnsi="新宋体" w:eastAsia="新宋体" w:cs="新宋体"/>
          <w:kern w:val="0"/>
          <w:sz w:val="32"/>
          <w:szCs w:val="32"/>
          <w:highlight w:val="none"/>
          <w:vertAlign w:val="baseline"/>
        </w:rPr>
        <w:t>根据申请人资信情况等为其核定的在圆鼎贷记卡有效期内可循环使用、向</w:t>
      </w:r>
      <w:r>
        <w:rPr>
          <w:rFonts w:hint="eastAsia" w:ascii="新宋体" w:hAnsi="新宋体" w:eastAsia="新宋体" w:cs="新宋体"/>
          <w:kern w:val="0"/>
          <w:sz w:val="32"/>
          <w:szCs w:val="32"/>
          <w:highlight w:val="none"/>
          <w:vertAlign w:val="baseline"/>
          <w:lang w:val="en-US" w:eastAsia="zh-CN"/>
        </w:rPr>
        <w:t>本行</w:t>
      </w:r>
      <w:r>
        <w:rPr>
          <w:rFonts w:hint="eastAsia" w:ascii="新宋体" w:hAnsi="新宋体" w:eastAsia="新宋体" w:cs="新宋体"/>
          <w:kern w:val="0"/>
          <w:sz w:val="32"/>
          <w:szCs w:val="32"/>
          <w:highlight w:val="none"/>
          <w:vertAlign w:val="baseline"/>
        </w:rPr>
        <w:t>透支的最高限额。</w:t>
      </w:r>
    </w:p>
    <w:p>
      <w:pPr>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卡类别：</w:t>
      </w:r>
      <w:r>
        <w:rPr>
          <w:rFonts w:hint="eastAsia" w:ascii="新宋体" w:hAnsi="新宋体" w:eastAsia="新宋体" w:cs="新宋体"/>
          <w:sz w:val="32"/>
          <w:szCs w:val="32"/>
          <w:highlight w:val="none"/>
          <w:vertAlign w:val="baseline"/>
          <w:lang w:val="en-US" w:eastAsia="zh-CN"/>
        </w:rPr>
        <w:t>本行</w:t>
      </w:r>
      <w:r>
        <w:rPr>
          <w:rFonts w:hint="eastAsia" w:ascii="新宋体" w:hAnsi="新宋体" w:eastAsia="新宋体" w:cs="新宋体"/>
          <w:sz w:val="32"/>
          <w:szCs w:val="32"/>
          <w:highlight w:val="none"/>
          <w:vertAlign w:val="baseline"/>
        </w:rPr>
        <w:t>构根据圆鼎贷记卡持卡人资信情况、持卡人享受特种优惠、持卡人账务处理等方面的不同而确定的产品分类。</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交易日：指持卡人实际消费、存取现、转账交易或与相关机构实际发生交易的日期。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银行记账日：指</w:t>
      </w:r>
      <w:r>
        <w:rPr>
          <w:rFonts w:hint="eastAsia" w:ascii="新宋体" w:hAnsi="新宋体" w:eastAsia="新宋体" w:cs="新宋体"/>
          <w:sz w:val="32"/>
          <w:szCs w:val="32"/>
          <w:highlight w:val="none"/>
          <w:vertAlign w:val="baseline"/>
          <w:lang w:val="en-US" w:eastAsia="zh-CN"/>
        </w:rPr>
        <w:t>本行</w:t>
      </w:r>
      <w:r>
        <w:rPr>
          <w:rFonts w:hint="eastAsia" w:ascii="新宋体" w:hAnsi="新宋体" w:eastAsia="新宋体" w:cs="新宋体"/>
          <w:sz w:val="32"/>
          <w:szCs w:val="32"/>
          <w:highlight w:val="none"/>
          <w:vertAlign w:val="baseline"/>
        </w:rPr>
        <w:t>在持卡人发生交易后将交易款项记入其圆鼎贷记卡账户，或根据规定将有关费用、利息记入其圆鼎贷记卡账户的日期。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账单日：指</w:t>
      </w:r>
      <w:r>
        <w:rPr>
          <w:rFonts w:hint="eastAsia" w:ascii="新宋体" w:hAnsi="新宋体" w:eastAsia="新宋体" w:cs="新宋体"/>
          <w:sz w:val="32"/>
          <w:szCs w:val="32"/>
          <w:highlight w:val="none"/>
          <w:vertAlign w:val="baseline"/>
          <w:lang w:val="en-US" w:eastAsia="zh-CN"/>
        </w:rPr>
        <w:t>本行</w:t>
      </w:r>
      <w:r>
        <w:rPr>
          <w:rFonts w:hint="eastAsia" w:ascii="新宋体" w:hAnsi="新宋体" w:eastAsia="新宋体" w:cs="新宋体"/>
          <w:sz w:val="32"/>
          <w:szCs w:val="32"/>
          <w:highlight w:val="none"/>
          <w:vertAlign w:val="baseline"/>
        </w:rPr>
        <w:t>每月对持卡人的累计未还消费交易本金、取现交易本金、费用等进行汇总，结计利息，并计算出持卡人应还款额的日期。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到期还款日：指</w:t>
      </w:r>
      <w:r>
        <w:rPr>
          <w:rFonts w:hint="eastAsia" w:ascii="新宋体" w:hAnsi="新宋体" w:eastAsia="新宋体" w:cs="新宋体"/>
          <w:sz w:val="32"/>
          <w:szCs w:val="32"/>
          <w:highlight w:val="none"/>
          <w:vertAlign w:val="baseline"/>
          <w:lang w:val="en-US" w:eastAsia="zh-CN"/>
        </w:rPr>
        <w:t>本行</w:t>
      </w:r>
      <w:r>
        <w:rPr>
          <w:rFonts w:hint="eastAsia" w:ascii="新宋体" w:hAnsi="新宋体" w:eastAsia="新宋体" w:cs="新宋体"/>
          <w:sz w:val="32"/>
          <w:szCs w:val="32"/>
          <w:highlight w:val="none"/>
          <w:vertAlign w:val="baseline"/>
        </w:rPr>
        <w:t>规定的持卡人应该偿还其全部应还款额或最低还款额的最后日期。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实际还款日：指持卡人以存现、转账等方式向</w:t>
      </w:r>
      <w:r>
        <w:rPr>
          <w:rFonts w:hint="eastAsia" w:ascii="新宋体" w:hAnsi="新宋体" w:eastAsia="新宋体" w:cs="新宋体"/>
          <w:sz w:val="32"/>
          <w:szCs w:val="32"/>
          <w:highlight w:val="none"/>
          <w:vertAlign w:val="baseline"/>
          <w:lang w:val="en-US" w:eastAsia="zh-CN"/>
        </w:rPr>
        <w:t>本行</w:t>
      </w:r>
      <w:r>
        <w:rPr>
          <w:rFonts w:hint="eastAsia" w:ascii="新宋体" w:hAnsi="新宋体" w:eastAsia="新宋体" w:cs="新宋体"/>
          <w:sz w:val="32"/>
          <w:szCs w:val="32"/>
          <w:highlight w:val="none"/>
          <w:vertAlign w:val="baseline"/>
        </w:rPr>
        <w:t>偿还其欠款的日期，以</w:t>
      </w:r>
      <w:r>
        <w:rPr>
          <w:rFonts w:hint="eastAsia" w:ascii="新宋体" w:hAnsi="新宋体" w:eastAsia="新宋体" w:cs="新宋体"/>
          <w:sz w:val="32"/>
          <w:szCs w:val="32"/>
          <w:highlight w:val="none"/>
          <w:vertAlign w:val="baseline"/>
          <w:lang w:val="en-US" w:eastAsia="zh-CN"/>
        </w:rPr>
        <w:t>本行</w:t>
      </w:r>
      <w:r>
        <w:rPr>
          <w:rFonts w:hint="eastAsia" w:ascii="新宋体" w:hAnsi="新宋体" w:eastAsia="新宋体" w:cs="新宋体"/>
          <w:sz w:val="32"/>
          <w:szCs w:val="32"/>
          <w:highlight w:val="none"/>
          <w:vertAlign w:val="baseline"/>
        </w:rPr>
        <w:t>收到客户还款资金的实际日期为准。</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全部应还款额：指截至当前账单日，持卡人累计未还的费用、交易本金以及利息等的总和。</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最低还款额：指</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规定的持卡人透支后应该偿还的最低金额，包括累计未还消费本金的一定比例，所有利息、超过信用额度的透支金额、取现本金和费用，以及以前月份最低还款额未还部分的总和，持卡人办理分期付款的，分期付款本期入账本金和本期入账利息全额计入当期最低还款额。</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免息还款期：指持卡人于银行记账日至到期还款日（含）前偿还全部应还款额的前提下，可享受免息待遇，其交易记账日至到期还款日期间为免息还款期。</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溢缴款：是指持卡人实际存款金额高于全部应还款额的部分，该部分金额不作为存款计息。</w:t>
      </w:r>
    </w:p>
    <w:p>
      <w:pPr>
        <w:spacing w:line="240" w:lineRule="auto"/>
        <w:ind w:firstLine="640" w:firstLineChars="200"/>
        <w:rPr>
          <w:rFonts w:ascii="新宋体" w:hAnsi="新宋体" w:eastAsia="新宋体" w:cs="新宋体"/>
          <w:sz w:val="32"/>
          <w:szCs w:val="32"/>
          <w:highlight w:val="none"/>
        </w:rPr>
      </w:pPr>
      <w:r>
        <w:rPr>
          <w:rFonts w:hint="eastAsia" w:ascii="新宋体" w:hAnsi="新宋体" w:eastAsia="新宋体" w:cs="新宋体"/>
          <w:sz w:val="32"/>
          <w:szCs w:val="32"/>
          <w:highlight w:val="none"/>
          <w:vertAlign w:val="baseline"/>
        </w:rPr>
        <w:t>违约金：指</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与持卡人约定的，持卡人到期还款日（含）前还款金额不足最低还款额时，应支付给</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的费用。</w:t>
      </w: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第二章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申领条件和手续</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第八条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具有完全民事行为能力，有合法、稳定收入来源且资信良好的个人均可凭本人有效身份证件和相关资料向</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申领个人卡主卡，还可为其他具有完全民事行为能力的直系亲属</w:t>
      </w:r>
      <w:r>
        <w:rPr>
          <w:rFonts w:ascii="新宋体" w:hAnsi="新宋体" w:eastAsia="新宋体" w:cs="新宋体"/>
          <w:sz w:val="32"/>
          <w:szCs w:val="32"/>
          <w:highlight w:val="none"/>
          <w:vertAlign w:val="baseline"/>
        </w:rPr>
        <w:t>(配偶、父母或子女）申领附属卡。附属卡申请材料必须由主卡持卡人和附属卡持卡人亲自签名确认。</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第九条</w:t>
      </w:r>
      <w:r>
        <w:rPr>
          <w:rFonts w:ascii="新宋体" w:hAnsi="新宋体" w:eastAsia="新宋体" w:cs="新宋体"/>
          <w:sz w:val="32"/>
          <w:szCs w:val="32"/>
          <w:highlight w:val="none"/>
          <w:vertAlign w:val="baseline"/>
        </w:rPr>
        <w:t xml:space="preserve"> 附属卡持卡人和主卡持卡人共享同一账户信用额度，主卡持卡人可在账户信用额度内设定附属卡信用额度，附属卡所有交易款项及相应利息、费用等均计入主卡账户。主卡持卡人对主卡及附属卡项下发生的债务承担全部清偿责任。附属卡持卡人对附属卡项下发生的债务承担连带清偿责任。</w:t>
      </w:r>
    </w:p>
    <w:p>
      <w:pPr>
        <w:widowControl/>
        <w:spacing w:line="240" w:lineRule="auto"/>
        <w:ind w:firstLine="643" w:firstLineChars="200"/>
        <w:jc w:val="left"/>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第十条</w:t>
      </w:r>
      <w:r>
        <w:rPr>
          <w:rFonts w:ascii="新宋体" w:hAnsi="新宋体" w:eastAsia="新宋体" w:cs="新宋体"/>
          <w:sz w:val="32"/>
          <w:szCs w:val="32"/>
          <w:highlight w:val="none"/>
          <w:vertAlign w:val="baseline"/>
        </w:rPr>
        <w:t xml:space="preserve"> 申请人申领圆鼎贷记卡时，应按</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要求，正确、完整、真实地填写申请表并本人亲自签名确认</w:t>
      </w:r>
      <w:r>
        <w:rPr>
          <w:rFonts w:hint="eastAsia" w:ascii="新宋体" w:hAnsi="新宋体" w:eastAsia="新宋体" w:cs="新宋体"/>
          <w:sz w:val="32"/>
          <w:szCs w:val="32"/>
          <w:highlight w:val="none"/>
          <w:vertAlign w:val="baseline"/>
        </w:rPr>
        <w:t>，提交资信证明、收入证明等证明文件。申请人在申请表上签名确认即表示其已完全获知并同意遵守申请表、本章程与</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rPr>
        <w:t>江苏省农村商业银行系统圆鼎贷记卡领用合约</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lang w:val="en-US" w:eastAsia="zh-CN"/>
        </w:rPr>
        <w:t>以下简称“领用合约”</w:t>
      </w:r>
      <w:r>
        <w:rPr>
          <w:rFonts w:hint="eastAsia" w:ascii="新宋体" w:hAnsi="新宋体" w:eastAsia="新宋体" w:cs="新宋体"/>
          <w:sz w:val="32"/>
          <w:szCs w:val="32"/>
          <w:highlight w:val="none"/>
          <w:vertAlign w:val="baseline"/>
          <w:lang w:eastAsia="zh-CN"/>
        </w:rPr>
        <w:t>）</w:t>
      </w:r>
      <w:r>
        <w:rPr>
          <w:rFonts w:hint="eastAsia" w:ascii="新宋体" w:hAnsi="新宋体" w:eastAsia="新宋体" w:cs="新宋体"/>
          <w:sz w:val="32"/>
          <w:szCs w:val="32"/>
          <w:highlight w:val="none"/>
          <w:vertAlign w:val="baseline"/>
        </w:rPr>
        <w:t>、收费表及其后的修订版本中的各项规定。</w:t>
      </w:r>
    </w:p>
    <w:p>
      <w:pPr>
        <w:widowControl/>
        <w:spacing w:line="240" w:lineRule="auto"/>
        <w:ind w:firstLine="643" w:firstLineChars="200"/>
        <w:jc w:val="left"/>
        <w:rPr>
          <w:rFonts w:ascii="新宋体" w:hAnsi="新宋体" w:eastAsia="新宋体" w:cs="新宋体"/>
          <w:bCs/>
          <w:kern w:val="0"/>
          <w:sz w:val="24"/>
          <w:szCs w:val="24"/>
          <w:highlight w:val="none"/>
        </w:rPr>
      </w:pPr>
      <w:r>
        <w:rPr>
          <w:rFonts w:hint="eastAsia" w:ascii="新宋体" w:hAnsi="新宋体" w:eastAsia="新宋体" w:cs="新宋体"/>
          <w:b/>
          <w:sz w:val="32"/>
          <w:szCs w:val="32"/>
          <w:highlight w:val="none"/>
          <w:vertAlign w:val="baseline"/>
        </w:rPr>
        <w:t>第</w:t>
      </w:r>
      <w:r>
        <w:rPr>
          <w:rFonts w:ascii="新宋体" w:hAnsi="新宋体" w:eastAsia="新宋体" w:cs="新宋体"/>
          <w:b/>
          <w:sz w:val="32"/>
          <w:szCs w:val="32"/>
          <w:highlight w:val="none"/>
          <w:vertAlign w:val="baseline"/>
        </w:rPr>
        <w:t>十</w:t>
      </w:r>
      <w:r>
        <w:rPr>
          <w:rFonts w:hint="eastAsia" w:ascii="新宋体" w:hAnsi="新宋体" w:eastAsia="新宋体" w:cs="新宋体"/>
          <w:b/>
          <w:sz w:val="32"/>
          <w:szCs w:val="32"/>
          <w:highlight w:val="none"/>
          <w:vertAlign w:val="baseline"/>
        </w:rPr>
        <w:t>一</w:t>
      </w:r>
      <w:r>
        <w:rPr>
          <w:rFonts w:ascii="新宋体" w:hAnsi="新宋体" w:eastAsia="新宋体" w:cs="新宋体"/>
          <w:b/>
          <w:sz w:val="32"/>
          <w:szCs w:val="32"/>
          <w:highlight w:val="none"/>
          <w:vertAlign w:val="baseline"/>
        </w:rPr>
        <w:t>条  为审核申请人的贷记卡申请或进行后续风险管理或为申请人提供综合化服务的目的，申请人同意并授权</w:t>
      </w:r>
      <w:r>
        <w:rPr>
          <w:rFonts w:hint="eastAsia" w:ascii="新宋体" w:hAnsi="新宋体" w:eastAsia="新宋体" w:cs="新宋体"/>
          <w:b/>
          <w:sz w:val="32"/>
          <w:szCs w:val="32"/>
          <w:highlight w:val="none"/>
          <w:vertAlign w:val="baseline"/>
          <w:lang w:eastAsia="zh-CN"/>
        </w:rPr>
        <w:t>本行</w:t>
      </w:r>
      <w:r>
        <w:rPr>
          <w:rFonts w:ascii="新宋体" w:hAnsi="新宋体" w:eastAsia="新宋体" w:cs="新宋体"/>
          <w:b/>
          <w:sz w:val="32"/>
          <w:szCs w:val="32"/>
          <w:highlight w:val="none"/>
          <w:vertAlign w:val="baseline"/>
        </w:rPr>
        <w:t>在审核其贷记卡申请或进行后续风险管理或为其提供综合化服务的过程中向中国人民银行金融信用信息基础数据库等依法设立的征信机构及其他相关合法机构了解和查询其资产、资信、个人信用信息等情况，并保留相关资料。</w:t>
      </w:r>
    </w:p>
    <w:p>
      <w:pPr>
        <w:pStyle w:val="16"/>
        <w:ind w:firstLine="643" w:firstLineChars="200"/>
        <w:rPr>
          <w:rFonts w:ascii="新宋体" w:hAnsi="新宋体" w:eastAsia="新宋体" w:cs="新宋体"/>
          <w:color w:val="auto"/>
          <w:sz w:val="32"/>
          <w:szCs w:val="32"/>
          <w:highlight w:val="none"/>
        </w:rPr>
      </w:pPr>
      <w:r>
        <w:rPr>
          <w:rFonts w:hint="eastAsia" w:ascii="新宋体" w:hAnsi="新宋体" w:eastAsia="新宋体" w:cs="新宋体"/>
          <w:b/>
          <w:color w:val="auto"/>
          <w:kern w:val="2"/>
          <w:sz w:val="32"/>
          <w:szCs w:val="32"/>
          <w:highlight w:val="none"/>
          <w:vertAlign w:val="baseline"/>
        </w:rPr>
        <w:t>第</w:t>
      </w:r>
      <w:r>
        <w:rPr>
          <w:rFonts w:ascii="新宋体" w:hAnsi="新宋体" w:eastAsia="新宋体" w:cs="新宋体"/>
          <w:b/>
          <w:color w:val="auto"/>
          <w:kern w:val="2"/>
          <w:sz w:val="32"/>
          <w:szCs w:val="32"/>
          <w:highlight w:val="none"/>
          <w:vertAlign w:val="baseline"/>
        </w:rPr>
        <w:t>十</w:t>
      </w:r>
      <w:r>
        <w:rPr>
          <w:rFonts w:hint="eastAsia" w:ascii="新宋体" w:hAnsi="新宋体" w:eastAsia="新宋体" w:cs="新宋体"/>
          <w:b/>
          <w:color w:val="auto"/>
          <w:kern w:val="0"/>
          <w:sz w:val="32"/>
          <w:szCs w:val="32"/>
          <w:highlight w:val="none"/>
          <w:vertAlign w:val="baseline"/>
        </w:rPr>
        <w:t>二</w:t>
      </w:r>
      <w:r>
        <w:rPr>
          <w:rFonts w:ascii="新宋体" w:hAnsi="新宋体" w:eastAsia="新宋体" w:cs="新宋体"/>
          <w:b/>
          <w:color w:val="auto"/>
          <w:kern w:val="2"/>
          <w:sz w:val="32"/>
          <w:szCs w:val="32"/>
          <w:highlight w:val="none"/>
          <w:vertAlign w:val="baseline"/>
        </w:rPr>
        <w:t>条</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根据申请人的资信状况，决定是否同意领卡申请、是否要求申请人提供担保及担保方式、确定领卡方式、领卡种类以及授信额度。</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将妥善保管申请资料，并履行相应保密义务，未通过</w:t>
      </w:r>
      <w:r>
        <w:rPr>
          <w:rFonts w:hint="eastAsia" w:ascii="新宋体" w:hAnsi="新宋体" w:eastAsia="新宋体" w:cs="新宋体"/>
          <w:color w:val="auto"/>
          <w:kern w:val="0"/>
          <w:sz w:val="32"/>
          <w:szCs w:val="32"/>
          <w:highlight w:val="none"/>
          <w:vertAlign w:val="baseline"/>
          <w:lang w:eastAsia="zh-CN"/>
        </w:rPr>
        <w:t>本行</w:t>
      </w:r>
      <w:r>
        <w:rPr>
          <w:rFonts w:hint="eastAsia" w:ascii="新宋体" w:hAnsi="新宋体" w:eastAsia="新宋体" w:cs="新宋体"/>
          <w:color w:val="auto"/>
          <w:kern w:val="0"/>
          <w:sz w:val="32"/>
          <w:szCs w:val="32"/>
          <w:highlight w:val="none"/>
          <w:vertAlign w:val="baseline"/>
        </w:rPr>
        <w:t>审批的申请资料不予退回。</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第十三条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rPr>
        <w:t>如采用担保形式申请贷记卡，</w:t>
      </w:r>
      <w:r>
        <w:rPr>
          <w:rFonts w:hint="eastAsia" w:ascii="新宋体" w:hAnsi="新宋体" w:eastAsia="新宋体" w:cs="新宋体"/>
          <w:snapToGrid w:val="0"/>
          <w:sz w:val="32"/>
          <w:szCs w:val="32"/>
          <w:highlight w:val="none"/>
          <w:vertAlign w:val="baseline"/>
        </w:rPr>
        <w:t>担保方式包括保证、抵押或质押，担保范围为持卡人</w:t>
      </w:r>
      <w:r>
        <w:rPr>
          <w:rFonts w:hint="eastAsia" w:ascii="新宋体" w:hAnsi="新宋体" w:eastAsia="新宋体" w:cs="新宋体"/>
          <w:sz w:val="32"/>
          <w:szCs w:val="32"/>
          <w:highlight w:val="none"/>
          <w:vertAlign w:val="baseline"/>
        </w:rPr>
        <w:t>圆鼎贷记卡项下发生的全部债务（包括</w:t>
      </w:r>
      <w:r>
        <w:rPr>
          <w:rFonts w:ascii="新宋体" w:hAnsi="新宋体" w:eastAsia="新宋体" w:cs="新宋体"/>
          <w:sz w:val="32"/>
          <w:szCs w:val="32"/>
          <w:highlight w:val="none"/>
          <w:vertAlign w:val="baseline"/>
        </w:rPr>
        <w:t>但不限于信用额度内</w:t>
      </w:r>
      <w:r>
        <w:rPr>
          <w:rFonts w:hint="eastAsia" w:ascii="新宋体" w:hAnsi="新宋体" w:eastAsia="新宋体" w:cs="新宋体"/>
          <w:sz w:val="32"/>
          <w:szCs w:val="32"/>
          <w:highlight w:val="none"/>
          <w:vertAlign w:val="baseline"/>
        </w:rPr>
        <w:t>透支</w:t>
      </w:r>
      <w:r>
        <w:rPr>
          <w:rFonts w:ascii="新宋体" w:hAnsi="新宋体" w:eastAsia="新宋体" w:cs="新宋体"/>
          <w:sz w:val="32"/>
          <w:szCs w:val="32"/>
          <w:highlight w:val="none"/>
          <w:vertAlign w:val="baseline"/>
        </w:rPr>
        <w:t>及超信用额度透支的本金、利息和费用）</w:t>
      </w:r>
      <w:r>
        <w:rPr>
          <w:rFonts w:hint="eastAsia" w:ascii="新宋体" w:hAnsi="新宋体" w:eastAsia="新宋体" w:cs="新宋体"/>
          <w:sz w:val="32"/>
          <w:szCs w:val="32"/>
          <w:highlight w:val="none"/>
          <w:vertAlign w:val="baseline"/>
        </w:rPr>
        <w:t>，相关当事人应另行签订担保合同。</w:t>
      </w:r>
    </w:p>
    <w:p>
      <w:pPr>
        <w:spacing w:line="240" w:lineRule="auto"/>
        <w:ind w:firstLine="640" w:firstLineChars="200"/>
        <w:rPr>
          <w:rFonts w:ascii="新宋体" w:hAnsi="新宋体" w:eastAsia="新宋体" w:cs="新宋体"/>
          <w:sz w:val="32"/>
          <w:szCs w:val="32"/>
          <w:highlight w:val="no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第三章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使用及账户管理</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第十四条</w:t>
      </w:r>
      <w:r>
        <w:rPr>
          <w:rFonts w:ascii="新宋体" w:hAnsi="新宋体" w:eastAsia="新宋体" w:cs="新宋体"/>
          <w:sz w:val="32"/>
          <w:szCs w:val="32"/>
          <w:highlight w:val="none"/>
          <w:vertAlign w:val="baseline"/>
        </w:rPr>
        <w:t xml:space="preserve"> 持卡人在领取圆鼎贷记卡后，应立即在卡背面签名栏内签上与申请表相同的签名，并在交易时使用相同的签名，否则，由此产生的损失由持卡人负责。持卡人可通过</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指定途径设置查询密码（适用于客户服务热线电话语音确认身份）、交易密码。</w:t>
      </w:r>
    </w:p>
    <w:p>
      <w:pPr>
        <w:spacing w:line="240" w:lineRule="auto"/>
        <w:ind w:firstLine="643" w:firstLineChars="200"/>
        <w:rPr>
          <w:rFonts w:ascii="新宋体" w:hAnsi="新宋体" w:eastAsia="新宋体" w:cs="新宋体"/>
          <w:b/>
          <w:sz w:val="32"/>
          <w:szCs w:val="32"/>
          <w:highlight w:val="none"/>
        </w:rPr>
      </w:pPr>
      <w:r>
        <w:rPr>
          <w:rFonts w:hint="eastAsia" w:ascii="新宋体" w:hAnsi="新宋体" w:eastAsia="新宋体" w:cs="新宋体"/>
          <w:b/>
          <w:bCs/>
          <w:sz w:val="32"/>
          <w:szCs w:val="32"/>
          <w:highlight w:val="none"/>
          <w:vertAlign w:val="baseline"/>
        </w:rPr>
        <w:t>第十五条</w:t>
      </w:r>
      <w:r>
        <w:rPr>
          <w:rFonts w:ascii="新宋体" w:hAnsi="新宋体" w:eastAsia="新宋体" w:cs="新宋体"/>
          <w:b/>
          <w:bCs/>
          <w:sz w:val="32"/>
          <w:szCs w:val="32"/>
          <w:highlight w:val="none"/>
          <w:vertAlign w:val="baseline"/>
        </w:rPr>
        <w:t xml:space="preserve"> </w:t>
      </w:r>
      <w:r>
        <w:rPr>
          <w:rFonts w:hint="eastAsia" w:ascii="新宋体" w:hAnsi="新宋体" w:eastAsia="新宋体" w:cs="新宋体"/>
          <w:b/>
          <w:sz w:val="32"/>
          <w:szCs w:val="32"/>
          <w:highlight w:val="none"/>
          <w:vertAlign w:val="baseline"/>
        </w:rPr>
        <w:t>持卡人应妥善保管密码，凡使用密码进行的交易，均视为持卡人本人所为，签名仅作为持卡人认可交易的辅助措施，不作为风险责任划分依据。依据密码等电子数据信息办理的各类结算交易所产生的电子信息交易记录均为该项交易的有效凭证，持卡人应承担密码泄露造成的损失。凡未使用密码进行的交易，包括但不限于电子现金、小额免密交易、授权通过第三方平台（如银联在线、支付宝、京东、财付通、百付宝等），签约后的支付交易或委托代扣等协议支付的，各项交易所产生的信息记录均属于该项交易的有效凭据，如记载有持卡人姓名的交易凭证、凭贷记卡磁条</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芯片</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卡号等电子数据办理的交易所产生的信息记录等。</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第十六</w:t>
      </w:r>
      <w:r>
        <w:rPr>
          <w:rFonts w:ascii="新宋体" w:hAnsi="新宋体" w:eastAsia="新宋体" w:cs="新宋体"/>
          <w:b/>
          <w:sz w:val="32"/>
          <w:szCs w:val="32"/>
          <w:highlight w:val="none"/>
          <w:vertAlign w:val="baseline"/>
        </w:rPr>
        <w:t>条</w:t>
      </w:r>
      <w:r>
        <w:rPr>
          <w:rFonts w:hint="eastAsia" w:ascii="新宋体" w:hAnsi="新宋体" w:eastAsia="新宋体" w:cs="新宋体"/>
          <w:b/>
          <w:sz w:val="32"/>
          <w:szCs w:val="32"/>
          <w:highlight w:val="none"/>
          <w:vertAlign w:val="baseline"/>
          <w:lang w:val="en-US" w:eastAsia="zh-CN"/>
        </w:rPr>
        <w:t xml:space="preserve"> </w:t>
      </w:r>
      <w:r>
        <w:rPr>
          <w:rFonts w:ascii="新宋体" w:hAnsi="新宋体" w:eastAsia="新宋体" w:cs="新宋体"/>
          <w:b/>
          <w:sz w:val="32"/>
          <w:szCs w:val="32"/>
          <w:highlight w:val="none"/>
          <w:vertAlign w:val="baseline"/>
        </w:rPr>
        <w:t>带有"闪付"或 "QuickPass" 标识的</w:t>
      </w:r>
      <w:r>
        <w:rPr>
          <w:rFonts w:hint="eastAsia" w:ascii="新宋体" w:hAnsi="新宋体" w:eastAsia="新宋体" w:cs="新宋体"/>
          <w:b/>
          <w:sz w:val="32"/>
          <w:szCs w:val="32"/>
          <w:highlight w:val="none"/>
          <w:vertAlign w:val="baseline"/>
        </w:rPr>
        <w:t>圆鼎贷记卡</w:t>
      </w:r>
      <w:r>
        <w:rPr>
          <w:rFonts w:hint="eastAsia" w:ascii="新宋体" w:hAnsi="新宋体" w:eastAsia="新宋体" w:cs="新宋体"/>
          <w:b/>
          <w:sz w:val="32"/>
          <w:szCs w:val="32"/>
          <w:highlight w:val="none"/>
          <w:vertAlign w:val="baseline"/>
          <w:lang w:val="en-US" w:eastAsia="zh-CN"/>
        </w:rPr>
        <w:t>具备</w:t>
      </w:r>
      <w:r>
        <w:rPr>
          <w:rFonts w:ascii="新宋体" w:hAnsi="新宋体" w:eastAsia="新宋体" w:cs="新宋体"/>
          <w:b/>
          <w:sz w:val="32"/>
          <w:szCs w:val="32"/>
          <w:highlight w:val="none"/>
          <w:vertAlign w:val="baseline"/>
        </w:rPr>
        <w:t>小额免密免签功能，持卡人可通过</w:t>
      </w:r>
      <w:r>
        <w:rPr>
          <w:rFonts w:hint="eastAsia" w:ascii="新宋体" w:hAnsi="新宋体" w:eastAsia="新宋体" w:cs="新宋体"/>
          <w:b/>
          <w:sz w:val="32"/>
          <w:szCs w:val="32"/>
          <w:highlight w:val="none"/>
          <w:vertAlign w:val="baseline"/>
        </w:rPr>
        <w:t>柜面</w:t>
      </w:r>
      <w:r>
        <w:rPr>
          <w:rFonts w:ascii="新宋体" w:hAnsi="新宋体" w:eastAsia="新宋体" w:cs="新宋体"/>
          <w:b/>
          <w:sz w:val="32"/>
          <w:szCs w:val="32"/>
          <w:highlight w:val="none"/>
          <w:vertAlign w:val="baseline"/>
        </w:rPr>
        <w:t>、</w:t>
      </w:r>
      <w:r>
        <w:rPr>
          <w:rFonts w:hint="eastAsia" w:ascii="新宋体" w:hAnsi="新宋体" w:eastAsia="新宋体" w:cs="新宋体"/>
          <w:b/>
          <w:sz w:val="32"/>
          <w:szCs w:val="32"/>
          <w:highlight w:val="none"/>
          <w:vertAlign w:val="baseline"/>
        </w:rPr>
        <w:t>手机银行</w:t>
      </w:r>
      <w:r>
        <w:rPr>
          <w:rFonts w:ascii="新宋体" w:hAnsi="新宋体" w:eastAsia="新宋体" w:cs="新宋体"/>
          <w:b/>
          <w:sz w:val="32"/>
          <w:szCs w:val="32"/>
          <w:highlight w:val="none"/>
          <w:vertAlign w:val="baseline"/>
        </w:rPr>
        <w:t>等渠道</w:t>
      </w:r>
      <w:r>
        <w:rPr>
          <w:rFonts w:hint="eastAsia" w:ascii="新宋体" w:hAnsi="新宋体" w:eastAsia="新宋体" w:cs="新宋体"/>
          <w:b/>
          <w:sz w:val="32"/>
          <w:szCs w:val="32"/>
          <w:highlight w:val="none"/>
          <w:vertAlign w:val="baseline"/>
          <w:lang w:val="en-US" w:eastAsia="zh-CN"/>
        </w:rPr>
        <w:t>自主开通或</w:t>
      </w:r>
      <w:r>
        <w:rPr>
          <w:rFonts w:ascii="新宋体" w:hAnsi="新宋体" w:eastAsia="新宋体" w:cs="新宋体"/>
          <w:b/>
          <w:sz w:val="32"/>
          <w:szCs w:val="32"/>
          <w:highlight w:val="none"/>
          <w:vertAlign w:val="baseline"/>
        </w:rPr>
        <w:t>关闭小额免密免签功能。小额免密免签功能</w:t>
      </w:r>
      <w:r>
        <w:rPr>
          <w:rFonts w:hint="eastAsia" w:ascii="新宋体" w:hAnsi="新宋体" w:eastAsia="新宋体" w:cs="新宋体"/>
          <w:b/>
          <w:sz w:val="32"/>
          <w:szCs w:val="32"/>
          <w:highlight w:val="none"/>
          <w:vertAlign w:val="baseline"/>
        </w:rPr>
        <w:t>指的是</w:t>
      </w:r>
      <w:r>
        <w:rPr>
          <w:rFonts w:ascii="新宋体" w:hAnsi="新宋体" w:eastAsia="新宋体" w:cs="新宋体"/>
          <w:b/>
          <w:sz w:val="32"/>
          <w:szCs w:val="32"/>
          <w:highlight w:val="none"/>
          <w:vertAlign w:val="baseline"/>
        </w:rPr>
        <w:t>持卡人在指定商户进行一定金额及以下的交易时，只需将卡片靠近受理终端感应区即可完成支付，无需验证密码也无需在打印凭证上签名。小额免密免签功能的限额以</w:t>
      </w:r>
      <w:r>
        <w:rPr>
          <w:rFonts w:hint="eastAsia" w:ascii="新宋体" w:hAnsi="新宋体" w:eastAsia="新宋体" w:cs="新宋体"/>
          <w:b/>
          <w:sz w:val="32"/>
          <w:szCs w:val="32"/>
          <w:highlight w:val="none"/>
          <w:vertAlign w:val="baseline"/>
          <w:lang w:eastAsia="zh-CN"/>
        </w:rPr>
        <w:t>本行</w:t>
      </w:r>
      <w:r>
        <w:rPr>
          <w:rFonts w:ascii="新宋体" w:hAnsi="新宋体" w:eastAsia="新宋体" w:cs="新宋体"/>
          <w:b/>
          <w:sz w:val="32"/>
          <w:szCs w:val="32"/>
          <w:highlight w:val="none"/>
          <w:vertAlign w:val="baseline"/>
        </w:rPr>
        <w:t>对外公布的限额为准并可经公告后调整。</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第十七</w:t>
      </w:r>
      <w:r>
        <w:rPr>
          <w:rFonts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持卡人一日内连续3次输入交易密码不正确的，当日该卡片即被锁定，次日自动解锁。如连续9次输入密码错误，持卡人须凭有效身份证件向</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申请办理密码解锁、密码重置等手续。</w:t>
      </w:r>
    </w:p>
    <w:p>
      <w:pPr>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第十八</w:t>
      </w:r>
      <w:r>
        <w:rPr>
          <w:rFonts w:ascii="新宋体" w:hAnsi="新宋体" w:eastAsia="新宋体" w:cs="新宋体"/>
          <w:b/>
          <w:sz w:val="32"/>
          <w:szCs w:val="32"/>
          <w:highlight w:val="none"/>
          <w:vertAlign w:val="baseline"/>
        </w:rPr>
        <w:t>条</w:t>
      </w:r>
      <w:r>
        <w:rPr>
          <w:rFonts w:hint="eastAsia" w:ascii="新宋体" w:hAnsi="新宋体" w:eastAsia="新宋体" w:cs="新宋体"/>
          <w:b/>
          <w:sz w:val="32"/>
          <w:szCs w:val="32"/>
          <w:highlight w:val="none"/>
          <w:vertAlign w:val="baseline"/>
          <w:lang w:val="en-US" w:eastAsia="zh-CN"/>
        </w:rPr>
        <w:t xml:space="preserve"> </w:t>
      </w:r>
      <w:r>
        <w:rPr>
          <w:rFonts w:hint="eastAsia" w:ascii="新宋体" w:hAnsi="新宋体" w:eastAsia="新宋体" w:cs="新宋体"/>
          <w:sz w:val="32"/>
          <w:szCs w:val="32"/>
          <w:highlight w:val="none"/>
          <w:vertAlign w:val="baseline"/>
        </w:rPr>
        <w:t>持卡人应在安全的技术和商户环境下在互联网上使用圆鼎贷记卡，</w:t>
      </w:r>
      <w:bookmarkStart w:id="0" w:name="OLE_LINK4"/>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怀疑用卡行为涉及洗钱、非法赌博等互联网非法交易的，有权拒绝处理或支付，因此导致的风险或损失由持卡人自行承担。</w:t>
      </w:r>
      <w:bookmarkEnd w:id="0"/>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第十九条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sz w:val="32"/>
          <w:szCs w:val="32"/>
          <w:highlight w:val="none"/>
          <w:vertAlign w:val="baseline"/>
        </w:rPr>
        <w:t>圆鼎</w:t>
      </w:r>
      <w:r>
        <w:rPr>
          <w:rFonts w:ascii="新宋体" w:hAnsi="新宋体" w:eastAsia="新宋体" w:cs="新宋体"/>
          <w:b/>
          <w:sz w:val="32"/>
          <w:szCs w:val="32"/>
          <w:highlight w:val="none"/>
          <w:vertAlign w:val="baseline"/>
        </w:rPr>
        <w:t>贷记卡仅限</w:t>
      </w:r>
      <w:r>
        <w:rPr>
          <w:rFonts w:hint="eastAsia" w:ascii="新宋体" w:hAnsi="新宋体" w:eastAsia="新宋体" w:cs="新宋体"/>
          <w:b/>
          <w:sz w:val="32"/>
          <w:szCs w:val="32"/>
          <w:highlight w:val="none"/>
          <w:vertAlign w:val="baseline"/>
        </w:rPr>
        <w:t>持卡人</w:t>
      </w:r>
      <w:r>
        <w:rPr>
          <w:rFonts w:ascii="新宋体" w:hAnsi="新宋体" w:eastAsia="新宋体" w:cs="新宋体"/>
          <w:b/>
          <w:sz w:val="32"/>
          <w:szCs w:val="32"/>
          <w:highlight w:val="none"/>
          <w:vertAlign w:val="baseline"/>
        </w:rPr>
        <w:t>本人使用，不得出租和转借</w:t>
      </w:r>
      <w:r>
        <w:rPr>
          <w:rFonts w:hint="eastAsia" w:ascii="新宋体" w:hAnsi="新宋体" w:eastAsia="新宋体" w:cs="新宋体"/>
          <w:b/>
          <w:sz w:val="32"/>
          <w:szCs w:val="32"/>
          <w:highlight w:val="none"/>
          <w:vertAlign w:val="baseline"/>
        </w:rPr>
        <w:t>，且应妥善保管圆鼎贷记卡、</w:t>
      </w:r>
      <w:r>
        <w:rPr>
          <w:rFonts w:ascii="新宋体" w:hAnsi="新宋体" w:eastAsia="新宋体" w:cs="新宋体"/>
          <w:b/>
          <w:sz w:val="32"/>
          <w:szCs w:val="32"/>
          <w:highlight w:val="none"/>
          <w:vertAlign w:val="baseline"/>
        </w:rPr>
        <w:t>卡号、密码、身份</w:t>
      </w:r>
      <w:r>
        <w:rPr>
          <w:rFonts w:hint="eastAsia" w:ascii="新宋体" w:hAnsi="新宋体" w:eastAsia="新宋体" w:cs="新宋体"/>
          <w:b/>
          <w:sz w:val="32"/>
          <w:szCs w:val="32"/>
          <w:highlight w:val="none"/>
          <w:vertAlign w:val="baseline"/>
        </w:rPr>
        <w:t>证</w:t>
      </w:r>
      <w:r>
        <w:rPr>
          <w:rFonts w:ascii="新宋体" w:hAnsi="新宋体" w:eastAsia="新宋体" w:cs="新宋体"/>
          <w:b/>
          <w:sz w:val="32"/>
          <w:szCs w:val="32"/>
          <w:highlight w:val="none"/>
          <w:vertAlign w:val="baseline"/>
        </w:rPr>
        <w:t>号、有效期、</w:t>
      </w:r>
      <w:r>
        <w:rPr>
          <w:rFonts w:hint="eastAsia" w:ascii="新宋体" w:hAnsi="新宋体" w:eastAsia="新宋体" w:cs="新宋体"/>
          <w:b/>
          <w:sz w:val="32"/>
          <w:szCs w:val="32"/>
          <w:highlight w:val="none"/>
          <w:vertAlign w:val="baseline"/>
        </w:rPr>
        <w:t>安全码（签名条后三位数字）等</w:t>
      </w:r>
      <w:r>
        <w:rPr>
          <w:rFonts w:ascii="新宋体" w:hAnsi="新宋体" w:eastAsia="新宋体" w:cs="新宋体"/>
          <w:b/>
          <w:sz w:val="32"/>
          <w:szCs w:val="32"/>
          <w:highlight w:val="none"/>
          <w:vertAlign w:val="baseline"/>
        </w:rPr>
        <w:t>相关信息</w:t>
      </w:r>
      <w:r>
        <w:rPr>
          <w:rFonts w:hint="eastAsia" w:ascii="新宋体" w:hAnsi="新宋体" w:eastAsia="新宋体" w:cs="新宋体"/>
          <w:b/>
          <w:sz w:val="32"/>
          <w:szCs w:val="32"/>
          <w:highlight w:val="none"/>
          <w:vertAlign w:val="baseline"/>
        </w:rPr>
        <w:t>。持卡人因出租</w:t>
      </w:r>
      <w:r>
        <w:rPr>
          <w:rFonts w:ascii="新宋体" w:hAnsi="新宋体" w:eastAsia="新宋体" w:cs="新宋体"/>
          <w:b/>
          <w:sz w:val="32"/>
          <w:szCs w:val="32"/>
          <w:highlight w:val="none"/>
          <w:vertAlign w:val="baseline"/>
        </w:rPr>
        <w:t>、转借</w:t>
      </w:r>
      <w:r>
        <w:rPr>
          <w:rFonts w:hint="eastAsia" w:ascii="新宋体" w:hAnsi="新宋体" w:eastAsia="新宋体" w:cs="新宋体"/>
          <w:b/>
          <w:sz w:val="32"/>
          <w:szCs w:val="32"/>
          <w:highlight w:val="none"/>
          <w:vertAlign w:val="baseline"/>
        </w:rPr>
        <w:t>圆鼎</w:t>
      </w:r>
      <w:r>
        <w:rPr>
          <w:rFonts w:ascii="新宋体" w:hAnsi="新宋体" w:eastAsia="新宋体" w:cs="新宋体"/>
          <w:b/>
          <w:sz w:val="32"/>
          <w:szCs w:val="32"/>
          <w:highlight w:val="none"/>
          <w:vertAlign w:val="baseline"/>
        </w:rPr>
        <w:t>贷记卡或</w:t>
      </w:r>
      <w:r>
        <w:rPr>
          <w:rFonts w:hint="eastAsia" w:ascii="新宋体" w:hAnsi="新宋体" w:eastAsia="新宋体" w:cs="新宋体"/>
          <w:b/>
          <w:sz w:val="32"/>
          <w:szCs w:val="32"/>
          <w:highlight w:val="none"/>
          <w:vertAlign w:val="baseline"/>
        </w:rPr>
        <w:t>泄露圆鼎贷记卡</w:t>
      </w:r>
      <w:r>
        <w:rPr>
          <w:rFonts w:ascii="新宋体" w:hAnsi="新宋体" w:eastAsia="新宋体" w:cs="新宋体"/>
          <w:b/>
          <w:sz w:val="32"/>
          <w:szCs w:val="32"/>
          <w:highlight w:val="none"/>
          <w:vertAlign w:val="baseline"/>
        </w:rPr>
        <w:t>卡号、密码、身份</w:t>
      </w:r>
      <w:r>
        <w:rPr>
          <w:rFonts w:hint="eastAsia" w:ascii="新宋体" w:hAnsi="新宋体" w:eastAsia="新宋体" w:cs="新宋体"/>
          <w:b/>
          <w:sz w:val="32"/>
          <w:szCs w:val="32"/>
          <w:highlight w:val="none"/>
          <w:vertAlign w:val="baseline"/>
        </w:rPr>
        <w:t>证</w:t>
      </w:r>
      <w:r>
        <w:rPr>
          <w:rFonts w:ascii="新宋体" w:hAnsi="新宋体" w:eastAsia="新宋体" w:cs="新宋体"/>
          <w:b/>
          <w:sz w:val="32"/>
          <w:szCs w:val="32"/>
          <w:highlight w:val="none"/>
          <w:vertAlign w:val="baseline"/>
        </w:rPr>
        <w:t>号、有效期、</w:t>
      </w:r>
      <w:r>
        <w:rPr>
          <w:rFonts w:hint="eastAsia" w:ascii="新宋体" w:hAnsi="新宋体" w:eastAsia="新宋体" w:cs="新宋体"/>
          <w:b/>
          <w:sz w:val="32"/>
          <w:szCs w:val="32"/>
          <w:highlight w:val="none"/>
          <w:vertAlign w:val="baseline"/>
        </w:rPr>
        <w:t>安全码（签名条后三位数字）等</w:t>
      </w:r>
      <w:r>
        <w:rPr>
          <w:rFonts w:ascii="新宋体" w:hAnsi="新宋体" w:eastAsia="新宋体" w:cs="新宋体"/>
          <w:b/>
          <w:sz w:val="32"/>
          <w:szCs w:val="32"/>
          <w:highlight w:val="none"/>
          <w:vertAlign w:val="baseline"/>
        </w:rPr>
        <w:t>相关信息</w:t>
      </w:r>
      <w:r>
        <w:rPr>
          <w:rFonts w:hint="eastAsia" w:ascii="新宋体" w:hAnsi="新宋体" w:eastAsia="新宋体" w:cs="新宋体"/>
          <w:b/>
          <w:sz w:val="32"/>
          <w:szCs w:val="32"/>
          <w:highlight w:val="none"/>
          <w:vertAlign w:val="baseline"/>
        </w:rPr>
        <w:t>而造成的损失由持卡人承担。</w:t>
      </w:r>
    </w:p>
    <w:p>
      <w:pPr>
        <w:pStyle w:val="7"/>
        <w:spacing w:line="240" w:lineRule="auto"/>
        <w:ind w:firstLine="643" w:firstLineChars="200"/>
        <w:rPr>
          <w:rFonts w:ascii="新宋体" w:hAnsi="新宋体" w:eastAsia="新宋体" w:cs="新宋体"/>
          <w:b/>
          <w:kern w:val="2"/>
          <w:sz w:val="32"/>
          <w:szCs w:val="32"/>
          <w:highlight w:val="none"/>
        </w:rPr>
      </w:pPr>
      <w:r>
        <w:rPr>
          <w:rFonts w:ascii="新宋体" w:hAnsi="新宋体" w:eastAsia="新宋体" w:cs="新宋体"/>
          <w:b/>
          <w:vanish/>
          <w:kern w:val="0"/>
          <w:sz w:val="32"/>
          <w:szCs w:val="32"/>
          <w:highlight w:val="none"/>
          <w:vertAlign w:val="baseline"/>
        </w:rPr>
        <w:t xml:space="preserve"> 2699809芯片卡电子现金账户视同现金管理，不计息，不挂失。</w:t>
      </w:r>
      <w:r>
        <w:rPr>
          <w:rFonts w:hint="eastAsia" w:ascii="新宋体" w:hAnsi="新宋体" w:eastAsia="新宋体" w:cs="新宋体"/>
          <w:b/>
          <w:kern w:val="0"/>
          <w:sz w:val="32"/>
          <w:szCs w:val="32"/>
          <w:highlight w:val="none"/>
          <w:vertAlign w:val="baseline"/>
        </w:rPr>
        <w:t>第二十条</w:t>
      </w:r>
      <w:r>
        <w:rPr>
          <w:rFonts w:ascii="新宋体" w:hAnsi="新宋体" w:eastAsia="新宋体" w:cs="新宋体"/>
          <w:b/>
          <w:kern w:val="0"/>
          <w:sz w:val="32"/>
          <w:szCs w:val="32"/>
          <w:highlight w:val="none"/>
          <w:vertAlign w:val="baseline"/>
        </w:rPr>
        <w:t xml:space="preserve"> </w:t>
      </w:r>
      <w:r>
        <w:rPr>
          <w:rFonts w:hint="eastAsia" w:ascii="新宋体" w:hAnsi="新宋体" w:eastAsia="新宋体" w:cs="新宋体"/>
          <w:b/>
          <w:kern w:val="0"/>
          <w:sz w:val="32"/>
          <w:szCs w:val="32"/>
          <w:highlight w:val="none"/>
          <w:vertAlign w:val="baseline"/>
        </w:rPr>
        <w:t>芯片卡电子现金业务是指</w:t>
      </w:r>
      <w:r>
        <w:rPr>
          <w:rFonts w:hint="eastAsia" w:ascii="新宋体" w:hAnsi="新宋体" w:eastAsia="新宋体" w:cs="新宋体"/>
          <w:b/>
          <w:kern w:val="0"/>
          <w:sz w:val="32"/>
          <w:szCs w:val="32"/>
          <w:highlight w:val="none"/>
          <w:vertAlign w:val="baseline"/>
          <w:lang w:eastAsia="zh-CN"/>
        </w:rPr>
        <w:t>本行</w:t>
      </w:r>
      <w:r>
        <w:rPr>
          <w:rFonts w:hint="eastAsia" w:ascii="新宋体" w:hAnsi="新宋体" w:eastAsia="新宋体" w:cs="新宋体"/>
          <w:b/>
          <w:kern w:val="0"/>
          <w:sz w:val="32"/>
          <w:szCs w:val="32"/>
          <w:highlight w:val="none"/>
          <w:vertAlign w:val="baseline"/>
        </w:rPr>
        <w:t>根据持卡人要求将现金或账户存款转至芯片卡内储存，交易时不校验密码直接从芯片卡内扣款的业务，芯片卡电子现金账户余额上限为</w:t>
      </w:r>
      <w:r>
        <w:rPr>
          <w:rFonts w:ascii="新宋体" w:hAnsi="新宋体" w:eastAsia="新宋体" w:cs="新宋体"/>
          <w:b/>
          <w:kern w:val="0"/>
          <w:sz w:val="32"/>
          <w:szCs w:val="32"/>
          <w:highlight w:val="none"/>
          <w:vertAlign w:val="baseline"/>
        </w:rPr>
        <w:t>1000元，</w:t>
      </w:r>
      <w:r>
        <w:rPr>
          <w:rFonts w:hint="eastAsia" w:ascii="新宋体" w:hAnsi="新宋体" w:eastAsia="新宋体" w:cs="新宋体"/>
          <w:b/>
          <w:kern w:val="0"/>
          <w:sz w:val="32"/>
          <w:szCs w:val="32"/>
          <w:highlight w:val="none"/>
          <w:vertAlign w:val="baseline"/>
        </w:rPr>
        <w:t>视同现金管理，不计息，不挂失</w:t>
      </w:r>
      <w:r>
        <w:rPr>
          <w:rFonts w:hint="eastAsia" w:ascii="新宋体" w:hAnsi="新宋体" w:eastAsia="新宋体" w:cs="新宋体"/>
          <w:b/>
          <w:kern w:val="2"/>
          <w:sz w:val="32"/>
          <w:szCs w:val="32"/>
          <w:highlight w:val="none"/>
          <w:vertAlign w:val="baseline"/>
        </w:rPr>
        <w:t>。持卡人使用支持电子现金账户的</w:t>
      </w:r>
      <w:r>
        <w:rPr>
          <w:rFonts w:hint="eastAsia" w:ascii="新宋体" w:hAnsi="新宋体" w:eastAsia="新宋体" w:cs="新宋体"/>
          <w:b/>
          <w:kern w:val="0"/>
          <w:sz w:val="32"/>
          <w:szCs w:val="32"/>
          <w:highlight w:val="none"/>
          <w:vertAlign w:val="baseline"/>
        </w:rPr>
        <w:t>圆鼎</w:t>
      </w:r>
      <w:r>
        <w:rPr>
          <w:rFonts w:hint="eastAsia" w:ascii="新宋体" w:hAnsi="新宋体" w:eastAsia="新宋体" w:cs="新宋体"/>
          <w:b/>
          <w:kern w:val="2"/>
          <w:sz w:val="32"/>
          <w:szCs w:val="32"/>
          <w:highlight w:val="none"/>
          <w:vertAlign w:val="baseline"/>
        </w:rPr>
        <w:t>贷记卡可在境内带有“银联”标识且支持电子现金受理的特约受理商户的芯片接触或非接触式受理终端上进行脱机消费，交易时无须输入密码，打印交易凭证也无须持卡人签名确认，所有交易均视为持卡人本人所为，</w:t>
      </w:r>
      <w:r>
        <w:rPr>
          <w:rFonts w:hint="eastAsia" w:ascii="新宋体" w:hAnsi="新宋体" w:eastAsia="新宋体" w:cs="新宋体"/>
          <w:b/>
          <w:kern w:val="2"/>
          <w:sz w:val="32"/>
          <w:szCs w:val="32"/>
          <w:highlight w:val="none"/>
          <w:vertAlign w:val="baseline"/>
          <w:lang w:eastAsia="zh-CN"/>
        </w:rPr>
        <w:t>本行</w:t>
      </w:r>
      <w:r>
        <w:rPr>
          <w:rFonts w:hint="eastAsia" w:ascii="新宋体" w:hAnsi="新宋体" w:eastAsia="新宋体" w:cs="新宋体"/>
          <w:b/>
          <w:kern w:val="2"/>
          <w:sz w:val="32"/>
          <w:szCs w:val="32"/>
          <w:highlight w:val="none"/>
          <w:vertAlign w:val="baseline"/>
        </w:rPr>
        <w:t>不受理因脱机消费引起的争议。</w:t>
      </w:r>
    </w:p>
    <w:p>
      <w:pPr>
        <w:pStyle w:val="7"/>
        <w:spacing w:line="240" w:lineRule="auto"/>
        <w:ind w:firstLine="643" w:firstLineChars="200"/>
        <w:rPr>
          <w:rFonts w:ascii="新宋体" w:hAnsi="新宋体" w:eastAsia="新宋体" w:cs="新宋体"/>
          <w:b/>
          <w:kern w:val="2"/>
          <w:sz w:val="32"/>
          <w:szCs w:val="32"/>
          <w:highlight w:val="none"/>
        </w:rPr>
      </w:pPr>
      <w:r>
        <w:rPr>
          <w:rFonts w:hint="eastAsia" w:ascii="新宋体" w:hAnsi="新宋体" w:eastAsia="新宋体" w:cs="新宋体"/>
          <w:b/>
          <w:kern w:val="0"/>
          <w:sz w:val="32"/>
          <w:szCs w:val="32"/>
          <w:highlight w:val="none"/>
          <w:vertAlign w:val="baseline"/>
        </w:rPr>
        <w:t>第二十一条</w:t>
      </w:r>
      <w:r>
        <w:rPr>
          <w:rFonts w:ascii="新宋体" w:hAnsi="新宋体" w:eastAsia="新宋体" w:cs="新宋体"/>
          <w:b/>
          <w:kern w:val="0"/>
          <w:sz w:val="32"/>
          <w:szCs w:val="32"/>
          <w:highlight w:val="none"/>
          <w:vertAlign w:val="baseline"/>
        </w:rPr>
        <w:t xml:space="preserve"> </w:t>
      </w:r>
      <w:r>
        <w:rPr>
          <w:rFonts w:hint="eastAsia" w:ascii="新宋体" w:hAnsi="新宋体" w:eastAsia="新宋体" w:cs="新宋体"/>
          <w:b/>
          <w:kern w:val="0"/>
          <w:sz w:val="32"/>
          <w:szCs w:val="32"/>
          <w:highlight w:val="none"/>
          <w:vertAlign w:val="baseline"/>
        </w:rPr>
        <w:t>圆鼎</w:t>
      </w:r>
      <w:r>
        <w:rPr>
          <w:rFonts w:ascii="新宋体" w:hAnsi="新宋体" w:eastAsia="新宋体" w:cs="新宋体"/>
          <w:b/>
          <w:kern w:val="0"/>
          <w:sz w:val="32"/>
          <w:szCs w:val="32"/>
          <w:highlight w:val="none"/>
          <w:vertAlign w:val="baseline"/>
        </w:rPr>
        <w:t>贷记卡</w:t>
      </w:r>
      <w:r>
        <w:rPr>
          <w:rFonts w:hint="eastAsia" w:ascii="新宋体" w:hAnsi="新宋体" w:eastAsia="新宋体" w:cs="新宋体"/>
          <w:b/>
          <w:kern w:val="0"/>
          <w:sz w:val="32"/>
          <w:szCs w:val="32"/>
          <w:highlight w:val="none"/>
          <w:vertAlign w:val="baseline"/>
        </w:rPr>
        <w:t>挂失、</w:t>
      </w:r>
      <w:r>
        <w:rPr>
          <w:rFonts w:ascii="新宋体" w:hAnsi="新宋体" w:eastAsia="新宋体" w:cs="新宋体"/>
          <w:b/>
          <w:kern w:val="0"/>
          <w:sz w:val="32"/>
          <w:szCs w:val="32"/>
          <w:highlight w:val="none"/>
          <w:vertAlign w:val="baseline"/>
        </w:rPr>
        <w:t>损坏</w:t>
      </w:r>
      <w:r>
        <w:rPr>
          <w:rFonts w:hint="eastAsia" w:ascii="新宋体" w:hAnsi="新宋体" w:eastAsia="新宋体" w:cs="新宋体"/>
          <w:b/>
          <w:kern w:val="0"/>
          <w:sz w:val="32"/>
          <w:szCs w:val="32"/>
          <w:highlight w:val="none"/>
          <w:vertAlign w:val="baseline"/>
        </w:rPr>
        <w:t>换卡或到期续卡后，新卡承继旧卡全部债权债务关系，但新卡</w:t>
      </w:r>
      <w:r>
        <w:rPr>
          <w:rFonts w:ascii="新宋体" w:hAnsi="新宋体" w:eastAsia="新宋体" w:cs="新宋体"/>
          <w:b/>
          <w:kern w:val="0"/>
          <w:sz w:val="32"/>
          <w:szCs w:val="32"/>
          <w:highlight w:val="none"/>
          <w:vertAlign w:val="baseline"/>
        </w:rPr>
        <w:t>（</w:t>
      </w:r>
      <w:r>
        <w:rPr>
          <w:rFonts w:hint="eastAsia" w:ascii="新宋体" w:hAnsi="新宋体" w:eastAsia="新宋体" w:cs="新宋体"/>
          <w:b/>
          <w:kern w:val="0"/>
          <w:sz w:val="32"/>
          <w:szCs w:val="32"/>
          <w:highlight w:val="none"/>
          <w:vertAlign w:val="baseline"/>
        </w:rPr>
        <w:t>芯片卡</w:t>
      </w:r>
      <w:r>
        <w:rPr>
          <w:rFonts w:ascii="新宋体" w:hAnsi="新宋体" w:eastAsia="新宋体" w:cs="新宋体"/>
          <w:b/>
          <w:kern w:val="0"/>
          <w:sz w:val="32"/>
          <w:szCs w:val="32"/>
          <w:highlight w:val="none"/>
          <w:vertAlign w:val="baseline"/>
        </w:rPr>
        <w:t>）</w:t>
      </w:r>
      <w:r>
        <w:rPr>
          <w:rFonts w:hint="eastAsia" w:ascii="新宋体" w:hAnsi="新宋体" w:eastAsia="新宋体" w:cs="新宋体"/>
          <w:b/>
          <w:kern w:val="0"/>
          <w:sz w:val="32"/>
          <w:szCs w:val="32"/>
          <w:highlight w:val="none"/>
          <w:vertAlign w:val="baseline"/>
        </w:rPr>
        <w:t>电子现金账户初始余额为</w:t>
      </w:r>
      <w:r>
        <w:rPr>
          <w:rFonts w:ascii="新宋体" w:hAnsi="新宋体" w:eastAsia="新宋体" w:cs="新宋体"/>
          <w:b/>
          <w:kern w:val="0"/>
          <w:sz w:val="32"/>
          <w:szCs w:val="32"/>
          <w:highlight w:val="none"/>
          <w:vertAlign w:val="baseline"/>
        </w:rPr>
        <w:t>0。</w:t>
      </w:r>
      <w:r>
        <w:rPr>
          <w:rFonts w:hint="eastAsia" w:ascii="新宋体" w:hAnsi="新宋体" w:eastAsia="新宋体" w:cs="新宋体"/>
          <w:b/>
          <w:snapToGrid w:val="0"/>
          <w:kern w:val="0"/>
          <w:sz w:val="32"/>
          <w:szCs w:val="32"/>
          <w:highlight w:val="none"/>
          <w:vertAlign w:val="baseline"/>
        </w:rPr>
        <w:t>原卡电子现金账户可以继续使用或</w:t>
      </w:r>
      <w:r>
        <w:rPr>
          <w:rFonts w:hint="eastAsia" w:ascii="新宋体" w:hAnsi="新宋体" w:eastAsia="新宋体" w:cs="新宋体"/>
          <w:b/>
          <w:kern w:val="0"/>
          <w:sz w:val="32"/>
          <w:szCs w:val="32"/>
          <w:highlight w:val="none"/>
          <w:vertAlign w:val="baseline"/>
        </w:rPr>
        <w:t>对原卡电子现金账户进行余额转移，转移至新卡主账户（原卡丢失的除外）</w:t>
      </w:r>
      <w:r>
        <w:rPr>
          <w:rFonts w:hint="eastAsia" w:ascii="新宋体" w:hAnsi="新宋体" w:eastAsia="新宋体" w:cs="新宋体"/>
          <w:b/>
          <w:snapToGrid w:val="0"/>
          <w:kern w:val="0"/>
          <w:sz w:val="32"/>
          <w:szCs w:val="32"/>
          <w:highlight w:val="none"/>
          <w:vertAlign w:val="baseline"/>
        </w:rPr>
        <w:t>。</w:t>
      </w:r>
      <w:r>
        <w:rPr>
          <w:rFonts w:hint="eastAsia" w:ascii="新宋体" w:hAnsi="新宋体" w:eastAsia="新宋体" w:cs="新宋体"/>
          <w:b/>
          <w:kern w:val="0"/>
          <w:sz w:val="32"/>
          <w:szCs w:val="32"/>
          <w:highlight w:val="none"/>
          <w:vertAlign w:val="baseline"/>
        </w:rPr>
        <w:t>圆鼎贷记卡挂失换卡须按规定向</w:t>
      </w:r>
      <w:r>
        <w:rPr>
          <w:rFonts w:hint="eastAsia" w:ascii="新宋体" w:hAnsi="新宋体" w:eastAsia="新宋体" w:cs="新宋体"/>
          <w:b/>
          <w:kern w:val="0"/>
          <w:sz w:val="32"/>
          <w:szCs w:val="32"/>
          <w:highlight w:val="none"/>
          <w:vertAlign w:val="baseline"/>
          <w:lang w:eastAsia="zh-CN"/>
        </w:rPr>
        <w:t>本行</w:t>
      </w:r>
      <w:r>
        <w:rPr>
          <w:rFonts w:hint="eastAsia" w:ascii="新宋体" w:hAnsi="新宋体" w:eastAsia="新宋体" w:cs="新宋体"/>
          <w:b/>
          <w:kern w:val="0"/>
          <w:sz w:val="32"/>
          <w:szCs w:val="32"/>
          <w:highlight w:val="none"/>
          <w:vertAlign w:val="baseline"/>
        </w:rPr>
        <w:t>支付挂失换卡费。</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二</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持卡人在境内外消费、取现及使用其他自助设备时，须遵守国家有关法律法规，以及银联、</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和收单银行有关规定。</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三</w:t>
      </w:r>
      <w:r>
        <w:rPr>
          <w:rFonts w:ascii="新宋体" w:hAnsi="新宋体" w:eastAsia="新宋体" w:cs="新宋体"/>
          <w:b/>
          <w:sz w:val="32"/>
          <w:szCs w:val="32"/>
          <w:highlight w:val="none"/>
          <w:vertAlign w:val="baseline"/>
        </w:rPr>
        <w:t xml:space="preserve">条 </w:t>
      </w:r>
      <w:r>
        <w:rPr>
          <w:rFonts w:hint="eastAsia" w:ascii="新宋体" w:hAnsi="新宋体" w:eastAsia="新宋体" w:cs="新宋体"/>
          <w:b/>
          <w:sz w:val="32"/>
          <w:szCs w:val="32"/>
          <w:highlight w:val="none"/>
          <w:vertAlign w:val="baseline"/>
          <w:lang w:eastAsia="zh-CN"/>
        </w:rPr>
        <w:t>本行</w:t>
      </w:r>
      <w:r>
        <w:rPr>
          <w:rFonts w:ascii="新宋体" w:hAnsi="新宋体" w:eastAsia="新宋体" w:cs="新宋体"/>
          <w:b/>
          <w:sz w:val="32"/>
          <w:szCs w:val="32"/>
          <w:highlight w:val="none"/>
          <w:vertAlign w:val="baseline"/>
        </w:rPr>
        <w:t>对圆鼎贷记卡设定有效期，</w:t>
      </w:r>
      <w:r>
        <w:rPr>
          <w:rFonts w:hint="eastAsia" w:ascii="新宋体" w:hAnsi="新宋体" w:eastAsia="新宋体" w:cs="新宋体"/>
          <w:b/>
          <w:sz w:val="32"/>
          <w:szCs w:val="32"/>
          <w:highlight w:val="none"/>
          <w:vertAlign w:val="baseline"/>
        </w:rPr>
        <w:t>将依据国家有关规定及持卡人历史用卡记录，决定是否为持卡人更换新卡，但持卡人在到期前一个月以书面或</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认可的其他形式通知</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不续卡、不换卡、销户的除外。若持卡人有存续的分期交易且不愿一次性结清账务的，</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有权拒绝持卡人的到期不续卡、不换卡、销户申请。本章程、领用合约及其他业务规定对已过期的圆鼎贷记卡继续有效，</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继续保留对已过期圆鼎贷记卡的管理权、追索权等权利。</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四</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有权根据国家规定的收费标准、领用合约以及持卡人历史用卡记录等向持卡人收取贷记卡年费。</w:t>
      </w:r>
    </w:p>
    <w:p>
      <w:pPr>
        <w:spacing w:line="240" w:lineRule="auto"/>
        <w:ind w:firstLine="643" w:firstLineChars="200"/>
        <w:rPr>
          <w:rFonts w:hint="eastAsia" w:ascii="新宋体" w:hAnsi="新宋体" w:eastAsia="新宋体" w:cs="新宋体"/>
          <w:b/>
          <w:sz w:val="32"/>
          <w:szCs w:val="32"/>
          <w:highlight w:val="none"/>
          <w:vertAlign w:val="baseli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五</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sz w:val="32"/>
          <w:szCs w:val="32"/>
          <w:highlight w:val="none"/>
          <w:vertAlign w:val="baseline"/>
        </w:rPr>
        <w:t>持卡人申办销户手续后，仍须清偿圆鼎贷记卡在销户前发生的一切债务和损失，</w:t>
      </w:r>
      <w:r>
        <w:rPr>
          <w:rFonts w:hint="eastAsia" w:ascii="新宋体" w:hAnsi="新宋体" w:eastAsia="新宋体" w:cs="新宋体"/>
          <w:b/>
          <w:sz w:val="32"/>
          <w:szCs w:val="32"/>
          <w:highlight w:val="none"/>
          <w:vertAlign w:val="baseline"/>
          <w:lang w:eastAsia="zh-CN"/>
        </w:rPr>
        <w:t>本行</w:t>
      </w:r>
      <w:r>
        <w:rPr>
          <w:rFonts w:hint="eastAsia" w:ascii="新宋体" w:hAnsi="新宋体" w:eastAsia="新宋体" w:cs="新宋体"/>
          <w:b/>
          <w:sz w:val="32"/>
          <w:szCs w:val="32"/>
          <w:highlight w:val="none"/>
          <w:vertAlign w:val="baseline"/>
        </w:rPr>
        <w:t>对已收的年费不予退还（双方另有约定的除外）。</w:t>
      </w:r>
    </w:p>
    <w:p>
      <w:pPr>
        <w:spacing w:line="240" w:lineRule="auto"/>
        <w:ind w:firstLine="643" w:firstLineChars="200"/>
        <w:rPr>
          <w:rFonts w:hint="eastAsia" w:ascii="新宋体" w:hAnsi="新宋体" w:eastAsia="新宋体" w:cs="新宋体"/>
          <w:b/>
          <w:sz w:val="32"/>
          <w:szCs w:val="32"/>
          <w:highlight w:val="none"/>
          <w:vertAlign w:val="baseli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第四章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计息及费用规定</w:t>
      </w:r>
    </w:p>
    <w:p>
      <w:pPr>
        <w:spacing w:line="240" w:lineRule="auto"/>
        <w:ind w:firstLine="643" w:firstLineChars="200"/>
        <w:rPr>
          <w:rFonts w:ascii="新宋体" w:hAnsi="新宋体" w:eastAsia="新宋体" w:cs="新宋体"/>
          <w:b/>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六</w:t>
      </w:r>
      <w:r>
        <w:rPr>
          <w:rFonts w:hint="eastAsia" w:ascii="新宋体" w:hAnsi="新宋体" w:eastAsia="新宋体" w:cs="新宋体"/>
          <w:b/>
          <w:sz w:val="32"/>
          <w:szCs w:val="32"/>
          <w:highlight w:val="none"/>
          <w:vertAlign w:val="baseline"/>
        </w:rPr>
        <w:t>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b/>
          <w:bCs w:val="0"/>
          <w:sz w:val="32"/>
          <w:szCs w:val="32"/>
          <w:highlight w:val="none"/>
          <w:vertAlign w:val="baseline"/>
        </w:rPr>
        <w:t>对有交易发生或虽未发生交易但账户有未清偿欠款的，</w:t>
      </w:r>
      <w:r>
        <w:rPr>
          <w:rFonts w:hint="eastAsia" w:ascii="新宋体" w:hAnsi="新宋体" w:eastAsia="新宋体" w:cs="新宋体"/>
          <w:b/>
          <w:bCs w:val="0"/>
          <w:sz w:val="32"/>
          <w:szCs w:val="32"/>
          <w:highlight w:val="none"/>
          <w:vertAlign w:val="baseline"/>
          <w:lang w:eastAsia="zh-CN"/>
        </w:rPr>
        <w:t>本行</w:t>
      </w:r>
      <w:r>
        <w:rPr>
          <w:rFonts w:hint="eastAsia" w:ascii="新宋体" w:hAnsi="新宋体" w:eastAsia="新宋体" w:cs="新宋体"/>
          <w:b/>
          <w:bCs w:val="0"/>
          <w:sz w:val="32"/>
          <w:szCs w:val="32"/>
          <w:highlight w:val="none"/>
          <w:vertAlign w:val="baseline"/>
        </w:rPr>
        <w:t>通过持卡人预留的电子邮件地址提供当期对账单</w:t>
      </w:r>
      <w:r>
        <w:rPr>
          <w:rFonts w:ascii="新宋体" w:hAnsi="新宋体" w:eastAsia="新宋体" w:cs="新宋体"/>
          <w:b/>
          <w:bCs w:val="0"/>
          <w:sz w:val="32"/>
          <w:szCs w:val="32"/>
          <w:highlight w:val="none"/>
          <w:vertAlign w:val="baseline"/>
        </w:rPr>
        <w:t>(不包含电子现金账户相关信息)或通过微信等渠道向持卡人推送当期对账单，即视为向持卡人通知到达。持卡人应注意查收对账单，如未按时收到对账单，应及时向</w:t>
      </w:r>
      <w:r>
        <w:rPr>
          <w:rFonts w:hint="eastAsia" w:ascii="新宋体" w:hAnsi="新宋体" w:eastAsia="新宋体" w:cs="新宋体"/>
          <w:b/>
          <w:bCs w:val="0"/>
          <w:sz w:val="32"/>
          <w:szCs w:val="32"/>
          <w:highlight w:val="none"/>
          <w:vertAlign w:val="baseline"/>
          <w:lang w:eastAsia="zh-CN"/>
        </w:rPr>
        <w:t>本行</w:t>
      </w:r>
      <w:r>
        <w:rPr>
          <w:rFonts w:ascii="新宋体" w:hAnsi="新宋体" w:eastAsia="新宋体" w:cs="新宋体"/>
          <w:b/>
          <w:bCs w:val="0"/>
          <w:sz w:val="32"/>
          <w:szCs w:val="32"/>
          <w:highlight w:val="none"/>
          <w:vertAlign w:val="baseline"/>
        </w:rPr>
        <w:t>查询，持卡人不得以未收到对账单为由拒绝还款。</w:t>
      </w:r>
    </w:p>
    <w:p>
      <w:pPr>
        <w:spacing w:line="240" w:lineRule="auto"/>
        <w:ind w:firstLine="643" w:firstLineChars="200"/>
        <w:rPr>
          <w:rFonts w:hint="eastAsia" w:ascii="新宋体" w:hAnsi="新宋体" w:eastAsia="新宋体" w:cs="新宋体"/>
          <w:b/>
          <w:bCs/>
          <w:sz w:val="32"/>
          <w:szCs w:val="32"/>
          <w:highlight w:val="none"/>
          <w:vertAlign w:val="baseline"/>
        </w:rPr>
      </w:pPr>
      <w:r>
        <w:rPr>
          <w:rFonts w:hint="eastAsia" w:ascii="新宋体" w:hAnsi="新宋体" w:eastAsia="新宋体" w:cs="新宋体"/>
          <w:b/>
          <w:bCs/>
          <w:sz w:val="32"/>
          <w:szCs w:val="32"/>
          <w:highlight w:val="none"/>
          <w:vertAlign w:val="baseline"/>
        </w:rPr>
        <w:t>第二十七条</w:t>
      </w:r>
      <w:r>
        <w:rPr>
          <w:rFonts w:ascii="新宋体" w:hAnsi="新宋体" w:eastAsia="新宋体" w:cs="新宋体"/>
          <w:bCs/>
          <w:sz w:val="32"/>
          <w:szCs w:val="32"/>
          <w:highlight w:val="none"/>
          <w:vertAlign w:val="baseline"/>
        </w:rPr>
        <w:t> </w:t>
      </w:r>
      <w:r>
        <w:rPr>
          <w:rFonts w:hint="eastAsia" w:ascii="新宋体" w:hAnsi="新宋体" w:eastAsia="新宋体" w:cs="新宋体"/>
          <w:b/>
          <w:bCs/>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对持卡人的还款，按照已出账单、未出账单的顺序偿还；账户状态正常或逾期1-90日（含）的，按照先应收利息、费用、后本金的顺序进行冲还；逾期91日以上的，按照先本金、后费用、应收利息的顺序进行冲还。</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第二十</w:t>
      </w:r>
      <w:r>
        <w:rPr>
          <w:rFonts w:hint="default" w:ascii="新宋体" w:hAnsi="新宋体" w:eastAsia="新宋体" w:cs="新宋体"/>
          <w:b/>
          <w:sz w:val="32"/>
          <w:szCs w:val="32"/>
          <w:highlight w:val="none"/>
          <w:vertAlign w:val="baseline"/>
          <w:lang w:val="en-US"/>
        </w:rPr>
        <w:t>八</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持卡人在到期还款日前（含）偿还全部应还款额的，其当期账单上本期发生的消费交易款项享受自银行记账日至到期还款日期间的免息待遇。</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第二十九条</w:t>
      </w:r>
      <w:r>
        <w:rPr>
          <w:rFonts w:ascii="新宋体" w:hAnsi="新宋体" w:eastAsia="新宋体" w:cs="新宋体"/>
          <w:snapToGrid w:val="0"/>
          <w:sz w:val="32"/>
          <w:szCs w:val="32"/>
          <w:highlight w:val="none"/>
          <w:vertAlign w:val="baseline"/>
        </w:rPr>
        <w:t xml:space="preserve"> 持卡人可按照</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规定的最低还款额还款。持卡人未能在到期还款日前（含）全额还款或超过信用额度用卡（如ETC代扣业务），不享受免息还款期待遇。</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对持卡人不符合免息条件的交易款项从银行记账日开始计算利息年</w:t>
      </w:r>
      <w:r>
        <w:rPr>
          <w:rFonts w:hint="eastAsia" w:ascii="新宋体" w:hAnsi="新宋体" w:eastAsia="新宋体" w:cs="新宋体"/>
          <w:b/>
          <w:snapToGrid w:val="0"/>
          <w:sz w:val="32"/>
          <w:szCs w:val="32"/>
          <w:highlight w:val="none"/>
        </w:rPr>
        <w:t>化</w:t>
      </w:r>
      <w:r>
        <w:rPr>
          <w:rFonts w:hint="eastAsia" w:ascii="新宋体" w:hAnsi="新宋体" w:eastAsia="新宋体" w:cs="新宋体"/>
          <w:b/>
          <w:snapToGrid w:val="0"/>
          <w:sz w:val="32"/>
          <w:szCs w:val="32"/>
          <w:highlight w:val="none"/>
          <w:vertAlign w:val="baseline"/>
        </w:rPr>
        <w:t>利率为</w:t>
      </w:r>
      <w:r>
        <w:rPr>
          <w:rFonts w:ascii="新宋体" w:hAnsi="新宋体" w:eastAsia="新宋体" w:cs="新宋体"/>
          <w:b/>
          <w:snapToGrid w:val="0"/>
          <w:sz w:val="32"/>
          <w:szCs w:val="32"/>
          <w:highlight w:val="none"/>
          <w:vertAlign w:val="baseline"/>
        </w:rPr>
        <w:t>18%，并按月计收复利。</w:t>
      </w:r>
      <w:r>
        <w:rPr>
          <w:rFonts w:hint="eastAsia" w:ascii="新宋体" w:hAnsi="新宋体" w:eastAsia="新宋体" w:cs="新宋体"/>
          <w:snapToGrid w:val="0"/>
          <w:sz w:val="32"/>
          <w:szCs w:val="32"/>
          <w:highlight w:val="none"/>
          <w:vertAlign w:val="baseline"/>
        </w:rPr>
        <w:t>如中国人民银行的有关规定发生变动，按其规定执行。</w:t>
      </w:r>
      <w:r>
        <w:rPr>
          <w:rFonts w:hint="eastAsia" w:ascii="新宋体" w:hAnsi="新宋体" w:eastAsia="新宋体" w:cs="新宋体"/>
          <w:snapToGrid w:val="0"/>
          <w:sz w:val="32"/>
          <w:szCs w:val="32"/>
          <w:highlight w:val="none"/>
          <w:vertAlign w:val="baseline"/>
          <w:lang w:eastAsia="zh-CN"/>
        </w:rPr>
        <w:t>本行</w:t>
      </w:r>
      <w:r>
        <w:rPr>
          <w:rFonts w:hint="eastAsia" w:ascii="新宋体" w:hAnsi="新宋体" w:eastAsia="新宋体" w:cs="新宋体"/>
          <w:snapToGrid w:val="0"/>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w:t>
      </w:r>
      <w:r>
        <w:rPr>
          <w:rFonts w:hint="default" w:ascii="新宋体" w:hAnsi="新宋体" w:eastAsia="新宋体" w:cs="新宋体"/>
          <w:b/>
          <w:snapToGrid w:val="0"/>
          <w:sz w:val="32"/>
          <w:szCs w:val="32"/>
          <w:highlight w:val="none"/>
          <w:vertAlign w:val="baseline"/>
          <w:lang w:val="en-US"/>
        </w:rPr>
        <w:t>三十</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b/>
          <w:snapToGrid w:val="0"/>
          <w:sz w:val="32"/>
          <w:szCs w:val="32"/>
          <w:highlight w:val="none"/>
          <w:vertAlign w:val="baseline"/>
        </w:rPr>
        <w:t>持卡人在到期还款日前还款不足最低还款额时，还须按与</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约定支付违约金。</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第三十一条</w:t>
      </w:r>
      <w:r>
        <w:rPr>
          <w:rFonts w:ascii="新宋体" w:hAnsi="新宋体" w:eastAsia="新宋体" w:cs="新宋体"/>
          <w:snapToGrid w:val="0"/>
          <w:sz w:val="32"/>
          <w:szCs w:val="32"/>
          <w:highlight w:val="none"/>
          <w:vertAlign w:val="baseline"/>
        </w:rPr>
        <w:t xml:space="preserve"> 持卡人开通</w:t>
      </w:r>
      <w:r>
        <w:rPr>
          <w:rFonts w:hint="eastAsia" w:ascii="新宋体" w:hAnsi="新宋体" w:eastAsia="新宋体" w:cs="新宋体"/>
          <w:sz w:val="32"/>
          <w:szCs w:val="32"/>
          <w:highlight w:val="none"/>
          <w:vertAlign w:val="baseline"/>
        </w:rPr>
        <w:t>圆鼎</w:t>
      </w:r>
      <w:r>
        <w:rPr>
          <w:rFonts w:hint="eastAsia" w:ascii="新宋体" w:hAnsi="新宋体" w:eastAsia="新宋体" w:cs="新宋体"/>
          <w:snapToGrid w:val="0"/>
          <w:sz w:val="32"/>
          <w:szCs w:val="32"/>
          <w:highlight w:val="none"/>
          <w:vertAlign w:val="baseline"/>
        </w:rPr>
        <w:t>贷记卡预借现金和转账功能的，即可通过</w:t>
      </w:r>
      <w:r>
        <w:rPr>
          <w:rFonts w:ascii="新宋体" w:hAnsi="新宋体" w:eastAsia="新宋体" w:cs="新宋体"/>
          <w:snapToGrid w:val="0"/>
          <w:sz w:val="32"/>
          <w:szCs w:val="32"/>
          <w:highlight w:val="none"/>
          <w:vertAlign w:val="baseline"/>
        </w:rPr>
        <w:t>ATM、网点柜面以及其他可提供现金服务的渠道提取现金或转账。</w:t>
      </w:r>
      <w:r>
        <w:rPr>
          <w:rFonts w:hint="eastAsia" w:ascii="新宋体" w:hAnsi="新宋体" w:eastAsia="新宋体" w:cs="新宋体"/>
          <w:b/>
          <w:bCs/>
          <w:snapToGrid w:val="0"/>
          <w:sz w:val="32"/>
          <w:szCs w:val="32"/>
          <w:highlight w:val="none"/>
          <w:vertAlign w:val="baseline"/>
        </w:rPr>
        <w:t>圆鼎贷记卡办理预借现金或转账交易部分不享受免息还款期待遇，</w:t>
      </w:r>
      <w:r>
        <w:rPr>
          <w:rFonts w:hint="eastAsia" w:ascii="新宋体" w:hAnsi="新宋体" w:eastAsia="新宋体" w:cs="新宋体"/>
          <w:b/>
          <w:bCs/>
          <w:snapToGrid w:val="0"/>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从预借现金或转账交易日起至清偿日计收利息，透支利率根据领用合约定价，按月计收复利，并按照</w:t>
      </w:r>
      <w:r>
        <w:rPr>
          <w:rFonts w:hint="eastAsia" w:ascii="新宋体" w:hAnsi="新宋体" w:eastAsia="新宋体" w:cs="新宋体"/>
          <w:b/>
          <w:bCs/>
          <w:snapToGrid w:val="0"/>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圆鼎</w:t>
      </w:r>
      <w:r>
        <w:rPr>
          <w:rFonts w:hint="eastAsia" w:ascii="新宋体" w:hAnsi="新宋体" w:eastAsia="新宋体" w:cs="新宋体"/>
          <w:b/>
          <w:bCs/>
          <w:snapToGrid w:val="0"/>
          <w:sz w:val="32"/>
          <w:szCs w:val="32"/>
          <w:highlight w:val="none"/>
          <w:vertAlign w:val="baseline"/>
        </w:rPr>
        <w:t>贷记卡收费标准收取一定的预借现金或转账交易手续费，</w:t>
      </w:r>
      <w:r>
        <w:rPr>
          <w:rFonts w:hint="eastAsia" w:ascii="新宋体" w:hAnsi="新宋体" w:eastAsia="新宋体" w:cs="新宋体"/>
          <w:b/>
          <w:bCs/>
          <w:snapToGrid w:val="0"/>
          <w:sz w:val="32"/>
          <w:szCs w:val="32"/>
          <w:highlight w:val="none"/>
          <w:vertAlign w:val="baseline"/>
          <w:lang w:eastAsia="zh-CN"/>
        </w:rPr>
        <w:t>本行</w:t>
      </w:r>
      <w:r>
        <w:rPr>
          <w:rFonts w:hint="eastAsia" w:ascii="新宋体" w:hAnsi="新宋体" w:eastAsia="新宋体" w:cs="新宋体"/>
          <w:b/>
          <w:bCs/>
          <w:snapToGrid w:val="0"/>
          <w:sz w:val="32"/>
          <w:szCs w:val="32"/>
          <w:highlight w:val="none"/>
          <w:vertAlign w:val="baseline"/>
        </w:rPr>
        <w:t>与圆鼎贷记卡申领人另有约定的除外。</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二</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b/>
          <w:snapToGrid w:val="0"/>
          <w:sz w:val="32"/>
          <w:szCs w:val="32"/>
          <w:highlight w:val="none"/>
          <w:vertAlign w:val="baseline"/>
        </w:rPr>
        <w:t xml:space="preserve"> </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对</w:t>
      </w:r>
      <w:r>
        <w:rPr>
          <w:rFonts w:hint="eastAsia" w:ascii="新宋体" w:hAnsi="新宋体" w:eastAsia="新宋体" w:cs="新宋体"/>
          <w:b/>
          <w:sz w:val="32"/>
          <w:szCs w:val="32"/>
          <w:highlight w:val="none"/>
          <w:vertAlign w:val="baseline"/>
        </w:rPr>
        <w:t>圆鼎贷记卡</w:t>
      </w:r>
      <w:r>
        <w:rPr>
          <w:rFonts w:hint="eastAsia" w:ascii="新宋体" w:hAnsi="新宋体" w:eastAsia="新宋体" w:cs="新宋体"/>
          <w:b/>
          <w:snapToGrid w:val="0"/>
          <w:sz w:val="32"/>
          <w:szCs w:val="32"/>
          <w:highlight w:val="none"/>
          <w:vertAlign w:val="baseline"/>
        </w:rPr>
        <w:t>账户内的存款不计付利息。</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三</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snapToGrid w:val="0"/>
          <w:sz w:val="32"/>
          <w:szCs w:val="32"/>
          <w:highlight w:val="none"/>
          <w:vertAlign w:val="baseline"/>
        </w:rPr>
        <w:t xml:space="preserve"> 持卡人可选择自行还款或约定自动还款。约定自动还款的，由</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在到期还款日从其指定的在</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开立的借记存款账户转账还款。</w:t>
      </w:r>
    </w:p>
    <w:p>
      <w:pPr>
        <w:pStyle w:val="7"/>
        <w:spacing w:line="240" w:lineRule="auto"/>
        <w:ind w:firstLine="643" w:firstLineChars="200"/>
        <w:rPr>
          <w:rFonts w:hint="eastAsia" w:ascii="新宋体" w:hAnsi="新宋体" w:eastAsia="新宋体" w:cs="新宋体"/>
          <w:b/>
          <w:snapToGrid w:val="0"/>
          <w:kern w:val="2"/>
          <w:sz w:val="32"/>
          <w:szCs w:val="32"/>
          <w:highlight w:val="none"/>
          <w:vertAlign w:val="baseline"/>
        </w:rPr>
      </w:pPr>
      <w:r>
        <w:rPr>
          <w:rFonts w:hint="eastAsia" w:ascii="新宋体" w:hAnsi="新宋体" w:eastAsia="新宋体" w:cs="新宋体"/>
          <w:b/>
          <w:snapToGrid w:val="0"/>
          <w:kern w:val="2"/>
          <w:sz w:val="32"/>
          <w:szCs w:val="32"/>
          <w:highlight w:val="none"/>
          <w:vertAlign w:val="baseline"/>
        </w:rPr>
        <w:t>第三十四条</w:t>
      </w:r>
      <w:r>
        <w:rPr>
          <w:rFonts w:ascii="新宋体" w:hAnsi="新宋体" w:eastAsia="新宋体" w:cs="新宋体"/>
          <w:b/>
          <w:snapToGrid w:val="0"/>
          <w:kern w:val="2"/>
          <w:sz w:val="32"/>
          <w:szCs w:val="32"/>
          <w:highlight w:val="none"/>
          <w:vertAlign w:val="baseline"/>
        </w:rPr>
        <w:t xml:space="preserve"> </w:t>
      </w:r>
      <w:r>
        <w:rPr>
          <w:rFonts w:hint="eastAsia" w:ascii="新宋体" w:hAnsi="新宋体" w:eastAsia="新宋体" w:cs="新宋体"/>
          <w:b/>
          <w:snapToGrid w:val="0"/>
          <w:kern w:val="2"/>
          <w:sz w:val="32"/>
          <w:szCs w:val="32"/>
          <w:highlight w:val="none"/>
          <w:vertAlign w:val="baseline"/>
          <w:lang w:eastAsia="zh-CN"/>
        </w:rPr>
        <w:t>本行</w:t>
      </w:r>
      <w:r>
        <w:rPr>
          <w:rFonts w:hint="eastAsia" w:ascii="新宋体" w:hAnsi="新宋体" w:eastAsia="新宋体" w:cs="新宋体"/>
          <w:b/>
          <w:snapToGrid w:val="0"/>
          <w:kern w:val="2"/>
          <w:sz w:val="32"/>
          <w:szCs w:val="32"/>
          <w:highlight w:val="none"/>
          <w:vertAlign w:val="baseline"/>
        </w:rPr>
        <w:t>按照对外统一规定的收费项目及标准收取费用，收费项目及标准如有变动，以</w:t>
      </w:r>
      <w:r>
        <w:rPr>
          <w:rFonts w:hint="eastAsia" w:ascii="新宋体" w:hAnsi="新宋体" w:eastAsia="新宋体" w:cs="新宋体"/>
          <w:b/>
          <w:snapToGrid w:val="0"/>
          <w:kern w:val="2"/>
          <w:sz w:val="32"/>
          <w:szCs w:val="32"/>
          <w:highlight w:val="none"/>
          <w:vertAlign w:val="baseline"/>
          <w:lang w:eastAsia="zh-CN"/>
        </w:rPr>
        <w:t>本行</w:t>
      </w:r>
      <w:r>
        <w:rPr>
          <w:rFonts w:hint="eastAsia" w:ascii="新宋体" w:hAnsi="新宋体" w:eastAsia="新宋体" w:cs="新宋体"/>
          <w:b/>
          <w:snapToGrid w:val="0"/>
          <w:kern w:val="2"/>
          <w:sz w:val="32"/>
          <w:szCs w:val="32"/>
          <w:highlight w:val="none"/>
          <w:vertAlign w:val="baseline"/>
        </w:rPr>
        <w:t>最新公告为准。</w:t>
      </w:r>
    </w:p>
    <w:p>
      <w:pPr>
        <w:pStyle w:val="7"/>
        <w:spacing w:line="240" w:lineRule="auto"/>
        <w:ind w:firstLine="643" w:firstLineChars="200"/>
        <w:rPr>
          <w:rFonts w:hint="eastAsia" w:ascii="新宋体" w:hAnsi="新宋体" w:eastAsia="新宋体" w:cs="新宋体"/>
          <w:b/>
          <w:snapToGrid w:val="0"/>
          <w:kern w:val="2"/>
          <w:sz w:val="32"/>
          <w:szCs w:val="32"/>
          <w:highlight w:val="none"/>
          <w:vertAlign w:val="baseli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第五章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权利和义务</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w:t>
      </w:r>
      <w:r>
        <w:rPr>
          <w:rFonts w:hint="default" w:ascii="新宋体" w:hAnsi="新宋体" w:eastAsia="新宋体" w:cs="新宋体"/>
          <w:b/>
          <w:sz w:val="32"/>
          <w:szCs w:val="32"/>
          <w:highlight w:val="none"/>
          <w:vertAlign w:val="baseline"/>
          <w:lang w:val="en-US"/>
        </w:rPr>
        <w:t>五</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w:t>
      </w:r>
      <w:r>
        <w:rPr>
          <w:rFonts w:hint="eastAsia" w:ascii="新宋体" w:hAnsi="新宋体" w:eastAsia="新宋体" w:cs="新宋体"/>
          <w:sz w:val="32"/>
          <w:szCs w:val="32"/>
          <w:highlight w:val="none"/>
          <w:vertAlign w:val="baseline"/>
          <w:lang w:eastAsia="zh-CN"/>
        </w:rPr>
        <w:t>本行</w:t>
      </w:r>
      <w:r>
        <w:rPr>
          <w:rFonts w:ascii="新宋体" w:hAnsi="新宋体" w:eastAsia="新宋体" w:cs="新宋体"/>
          <w:sz w:val="32"/>
          <w:szCs w:val="32"/>
          <w:highlight w:val="none"/>
          <w:vertAlign w:val="baseline"/>
        </w:rPr>
        <w:t>的权利</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1、</w:t>
      </w:r>
      <w:r>
        <w:rPr>
          <w:rFonts w:hint="eastAsia" w:ascii="新宋体" w:hAnsi="新宋体" w:eastAsia="新宋体" w:cs="新宋体"/>
          <w:snapToGrid w:val="0"/>
          <w:color w:val="auto"/>
          <w:kern w:val="2"/>
          <w:sz w:val="32"/>
          <w:szCs w:val="32"/>
          <w:highlight w:val="none"/>
          <w:vertAlign w:val="baseline"/>
          <w:lang w:eastAsia="zh-CN"/>
        </w:rPr>
        <w:t>本行</w:t>
      </w:r>
      <w:r>
        <w:rPr>
          <w:rFonts w:ascii="新宋体" w:hAnsi="新宋体" w:eastAsia="新宋体" w:cs="新宋体"/>
          <w:snapToGrid w:val="0"/>
          <w:color w:val="auto"/>
          <w:kern w:val="2"/>
          <w:sz w:val="32"/>
          <w:szCs w:val="32"/>
          <w:highlight w:val="none"/>
          <w:vertAlign w:val="baseline"/>
        </w:rPr>
        <w:t>有权获取申请人的个人信息和其它申请资料，根据与申请人签署的授权书查询、报送个人信用信息，或根据本章程、《领用合约》等协议向相关机构、个人核实申请人信用信息。</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2</w:t>
      </w:r>
      <w:r>
        <w:rPr>
          <w:rFonts w:hint="eastAsia"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有权决定是否向申请人核发、续发圆鼎贷记卡及具体发卡、续卡条件，并根据《领用合约》核定和调整持卡人的信用额度。</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3</w:t>
      </w:r>
      <w:r>
        <w:rPr>
          <w:rFonts w:hint="eastAsia" w:ascii="新宋体" w:hAnsi="新宋体" w:eastAsia="新宋体" w:cs="新宋体"/>
          <w:snapToGrid w:val="0"/>
          <w:color w:val="auto"/>
          <w:kern w:val="2"/>
          <w:sz w:val="32"/>
          <w:szCs w:val="32"/>
          <w:highlight w:val="none"/>
          <w:vertAlign w:val="baseline"/>
        </w:rPr>
        <w:t>、持卡人未能按时偿还应还款项的，</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有权采取催收</w:t>
      </w:r>
      <w:r>
        <w:rPr>
          <w:rFonts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rPr>
        <w:t>依法</w:t>
      </w:r>
      <w:r>
        <w:rPr>
          <w:rFonts w:ascii="新宋体" w:hAnsi="新宋体" w:eastAsia="新宋体" w:cs="新宋体"/>
          <w:snapToGrid w:val="0"/>
          <w:color w:val="auto"/>
          <w:kern w:val="2"/>
          <w:sz w:val="32"/>
          <w:szCs w:val="32"/>
          <w:highlight w:val="none"/>
          <w:vertAlign w:val="baseline"/>
        </w:rPr>
        <w:t>追索以及停止持卡人卡片的</w:t>
      </w:r>
      <w:r>
        <w:rPr>
          <w:rFonts w:hint="eastAsia" w:ascii="新宋体" w:hAnsi="新宋体" w:eastAsia="新宋体" w:cs="新宋体"/>
          <w:snapToGrid w:val="0"/>
          <w:color w:val="auto"/>
          <w:kern w:val="2"/>
          <w:sz w:val="32"/>
          <w:szCs w:val="32"/>
          <w:highlight w:val="none"/>
          <w:vertAlign w:val="baseline"/>
        </w:rPr>
        <w:t>使用等</w:t>
      </w:r>
      <w:r>
        <w:rPr>
          <w:rFonts w:ascii="新宋体" w:hAnsi="新宋体" w:eastAsia="新宋体" w:cs="新宋体"/>
          <w:snapToGrid w:val="0"/>
          <w:color w:val="auto"/>
          <w:kern w:val="2"/>
          <w:sz w:val="32"/>
          <w:szCs w:val="32"/>
          <w:highlight w:val="none"/>
          <w:vertAlign w:val="baseline"/>
        </w:rPr>
        <w:t>必要的</w:t>
      </w:r>
      <w:r>
        <w:rPr>
          <w:rFonts w:hint="eastAsia" w:ascii="新宋体" w:hAnsi="新宋体" w:eastAsia="新宋体" w:cs="新宋体"/>
          <w:snapToGrid w:val="0"/>
          <w:color w:val="auto"/>
          <w:kern w:val="2"/>
          <w:sz w:val="32"/>
          <w:szCs w:val="32"/>
          <w:highlight w:val="none"/>
          <w:vertAlign w:val="baseline"/>
        </w:rPr>
        <w:t>资产保全措施，督促持卡人还款，并追究其法律责任。</w:t>
      </w:r>
    </w:p>
    <w:p>
      <w:pPr>
        <w:pStyle w:val="16"/>
        <w:ind w:firstLine="640" w:firstLineChars="200"/>
        <w:rPr>
          <w:rFonts w:ascii="新宋体" w:hAnsi="新宋体" w:eastAsia="新宋体" w:cs="新宋体"/>
          <w:snapToGrid w:val="0"/>
          <w:color w:val="auto"/>
          <w:kern w:val="2"/>
          <w:sz w:val="32"/>
          <w:szCs w:val="32"/>
          <w:highlight w:val="none"/>
        </w:rPr>
      </w:pPr>
      <w:r>
        <w:rPr>
          <w:rFonts w:ascii="新宋体" w:hAnsi="新宋体" w:eastAsia="新宋体" w:cs="新宋体"/>
          <w:snapToGrid w:val="0"/>
          <w:color w:val="auto"/>
          <w:kern w:val="2"/>
          <w:sz w:val="32"/>
          <w:szCs w:val="32"/>
          <w:highlight w:val="none"/>
          <w:vertAlign w:val="baseline"/>
        </w:rPr>
        <w:t>4</w:t>
      </w:r>
      <w:r>
        <w:rPr>
          <w:rFonts w:hint="eastAsia" w:ascii="新宋体" w:hAnsi="新宋体" w:eastAsia="新宋体" w:cs="新宋体"/>
          <w:snapToGrid w:val="0"/>
          <w:color w:val="auto"/>
          <w:kern w:val="2"/>
          <w:sz w:val="32"/>
          <w:szCs w:val="32"/>
          <w:highlight w:val="none"/>
          <w:vertAlign w:val="baseline"/>
        </w:rPr>
        <w:t>、</w:t>
      </w:r>
      <w:r>
        <w:rPr>
          <w:rFonts w:hint="eastAsia" w:ascii="新宋体" w:hAnsi="新宋体" w:eastAsia="新宋体" w:cs="新宋体"/>
          <w:snapToGrid w:val="0"/>
          <w:color w:val="auto"/>
          <w:kern w:val="2"/>
          <w:sz w:val="32"/>
          <w:szCs w:val="32"/>
          <w:highlight w:val="none"/>
          <w:vertAlign w:val="baseline"/>
          <w:lang w:eastAsia="zh-CN"/>
        </w:rPr>
        <w:t>本行</w:t>
      </w:r>
      <w:r>
        <w:rPr>
          <w:rFonts w:hint="eastAsia" w:ascii="新宋体" w:hAnsi="新宋体" w:eastAsia="新宋体" w:cs="新宋体"/>
          <w:snapToGrid w:val="0"/>
          <w:color w:val="auto"/>
          <w:kern w:val="2"/>
          <w:sz w:val="32"/>
          <w:szCs w:val="32"/>
          <w:highlight w:val="none"/>
          <w:vertAlign w:val="baseline"/>
        </w:rPr>
        <w:t>有权根据本章程和《领用合约》向持卡人收取透支利息和各项费用。</w:t>
      </w:r>
    </w:p>
    <w:p>
      <w:pPr>
        <w:spacing w:line="240" w:lineRule="auto"/>
        <w:ind w:firstLine="643" w:firstLineChars="200"/>
        <w:rPr>
          <w:rFonts w:ascii="新宋体" w:hAnsi="新宋体" w:eastAsia="新宋体" w:cs="新宋体"/>
          <w:b/>
          <w:snapToGrid w:val="0"/>
          <w:sz w:val="32"/>
          <w:szCs w:val="32"/>
          <w:highlight w:val="none"/>
        </w:rPr>
      </w:pPr>
      <w:r>
        <w:rPr>
          <w:rFonts w:ascii="新宋体" w:hAnsi="新宋体" w:eastAsia="新宋体" w:cs="新宋体"/>
          <w:b/>
          <w:bCs/>
          <w:snapToGrid w:val="0"/>
          <w:sz w:val="32"/>
          <w:szCs w:val="32"/>
          <w:highlight w:val="none"/>
          <w:vertAlign w:val="baseline"/>
        </w:rPr>
        <w:t>5、</w:t>
      </w:r>
      <w:r>
        <w:rPr>
          <w:rFonts w:hint="eastAsia" w:ascii="新宋体" w:hAnsi="新宋体" w:eastAsia="新宋体" w:cs="新宋体"/>
          <w:b/>
          <w:bCs/>
          <w:snapToGrid w:val="0"/>
          <w:sz w:val="32"/>
          <w:szCs w:val="32"/>
          <w:highlight w:val="none"/>
          <w:vertAlign w:val="baseline"/>
        </w:rPr>
        <w:t>对不遵守有关法律法规、本章程等规定的持卡人，</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有权</w:t>
      </w:r>
      <w:r>
        <w:rPr>
          <w:rFonts w:ascii="新宋体" w:hAnsi="新宋体" w:eastAsia="新宋体" w:cs="新宋体"/>
          <w:b/>
          <w:snapToGrid w:val="0"/>
          <w:sz w:val="32"/>
          <w:szCs w:val="32"/>
          <w:highlight w:val="none"/>
          <w:vertAlign w:val="baseline"/>
        </w:rPr>
        <w:t>收回圆鼎贷记卡卡片或停止持卡人使用圆鼎贷记卡，</w:t>
      </w:r>
      <w:r>
        <w:rPr>
          <w:rFonts w:hint="eastAsia" w:ascii="新宋体" w:hAnsi="新宋体" w:eastAsia="新宋体" w:cs="新宋体"/>
          <w:b/>
          <w:snapToGrid w:val="0"/>
          <w:sz w:val="32"/>
          <w:szCs w:val="32"/>
          <w:highlight w:val="none"/>
          <w:vertAlign w:val="baseline"/>
        </w:rPr>
        <w:t>授权特约商户收回圆鼎贷记卡卡片；</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有权随时因其认定的正当理由（包括但不限于：持卡人有任何舞弊、欺诈或非真实交易的情形；持卡人存在</w:t>
      </w:r>
      <w:r>
        <w:rPr>
          <w:rFonts w:hint="eastAsia" w:ascii="新宋体" w:hAnsi="新宋体" w:eastAsia="新宋体" w:cs="新宋体"/>
          <w:b/>
          <w:snapToGrid w:val="0"/>
          <w:sz w:val="32"/>
          <w:szCs w:val="32"/>
          <w:highlight w:val="none"/>
          <w:vertAlign w:val="baseline"/>
          <w:lang w:val="en-US" w:eastAsia="zh-CN"/>
        </w:rPr>
        <w:t>涉嫌</w:t>
      </w:r>
      <w:r>
        <w:rPr>
          <w:rFonts w:hint="eastAsia" w:ascii="新宋体" w:hAnsi="新宋体" w:eastAsia="新宋体" w:cs="新宋体"/>
          <w:b/>
          <w:snapToGrid w:val="0"/>
          <w:sz w:val="32"/>
          <w:szCs w:val="32"/>
          <w:highlight w:val="none"/>
          <w:vertAlign w:val="baseline"/>
        </w:rPr>
        <w:t>洗钱、</w:t>
      </w:r>
      <w:r>
        <w:rPr>
          <w:rFonts w:hint="eastAsia" w:ascii="新宋体" w:hAnsi="新宋体" w:eastAsia="新宋体" w:cs="新宋体"/>
          <w:b/>
          <w:snapToGrid w:val="0"/>
          <w:sz w:val="32"/>
          <w:szCs w:val="32"/>
          <w:highlight w:val="none"/>
          <w:vertAlign w:val="baseline"/>
          <w:lang w:val="en-US" w:eastAsia="zh-CN"/>
        </w:rPr>
        <w:t>恐怖融资、</w:t>
      </w:r>
      <w:r>
        <w:rPr>
          <w:rFonts w:hint="eastAsia" w:ascii="新宋体" w:hAnsi="新宋体" w:eastAsia="新宋体" w:cs="新宋体"/>
          <w:b/>
          <w:snapToGrid w:val="0"/>
          <w:sz w:val="32"/>
          <w:szCs w:val="32"/>
          <w:highlight w:val="none"/>
          <w:vertAlign w:val="baseline"/>
        </w:rPr>
        <w:t>出卖银行卡</w:t>
      </w:r>
      <w:r>
        <w:rPr>
          <w:rFonts w:hint="eastAsia" w:ascii="新宋体" w:hAnsi="新宋体" w:eastAsia="新宋体" w:cs="新宋体"/>
          <w:b/>
          <w:snapToGrid w:val="0"/>
          <w:sz w:val="32"/>
          <w:szCs w:val="32"/>
          <w:highlight w:val="none"/>
          <w:vertAlign w:val="baseline"/>
          <w:lang w:eastAsia="zh-CN"/>
        </w:rPr>
        <w:t>、</w:t>
      </w:r>
      <w:r>
        <w:rPr>
          <w:rFonts w:hint="eastAsia" w:ascii="新宋体" w:hAnsi="新宋体" w:eastAsia="新宋体" w:cs="新宋体"/>
          <w:b/>
          <w:snapToGrid w:val="0"/>
          <w:sz w:val="32"/>
          <w:szCs w:val="32"/>
          <w:highlight w:val="none"/>
          <w:vertAlign w:val="baseline"/>
          <w:lang w:val="en-US" w:eastAsia="zh-CN"/>
        </w:rPr>
        <w:t>涉嫌电信网络诈骗</w:t>
      </w:r>
      <w:r>
        <w:rPr>
          <w:rFonts w:hint="eastAsia" w:ascii="新宋体" w:hAnsi="新宋体" w:eastAsia="新宋体" w:cs="新宋体"/>
          <w:b/>
          <w:snapToGrid w:val="0"/>
          <w:sz w:val="32"/>
          <w:szCs w:val="32"/>
          <w:highlight w:val="none"/>
          <w:vertAlign w:val="baseline"/>
        </w:rPr>
        <w:t>等行为时；贷记卡因被取消、管制、终止、过期并不被续期等原因变为不正常状态；持卡人未依约还款；持卡人身故；持卡人违反有关法律法规、本章程或</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的相关规定等）限制持卡人的贷记卡交易，调降持卡人的账户信用额度，中止或停止持卡人使用贷记卡的权利。</w:t>
      </w:r>
    </w:p>
    <w:p>
      <w:pPr>
        <w:spacing w:line="240" w:lineRule="auto"/>
        <w:ind w:firstLine="643" w:firstLineChars="200"/>
        <w:rPr>
          <w:rFonts w:ascii="新宋体" w:hAnsi="新宋体" w:eastAsia="新宋体" w:cs="新宋体"/>
          <w:b/>
          <w:bCs/>
          <w:sz w:val="32"/>
          <w:szCs w:val="32"/>
          <w:highlight w:val="none"/>
        </w:rPr>
      </w:pPr>
      <w:r>
        <w:rPr>
          <w:rFonts w:ascii="新宋体" w:hAnsi="新宋体" w:eastAsia="新宋体" w:cs="新宋体"/>
          <w:b/>
          <w:bCs/>
          <w:sz w:val="32"/>
          <w:szCs w:val="32"/>
          <w:highlight w:val="none"/>
          <w:vertAlign w:val="baseline"/>
        </w:rPr>
        <w:t>6</w:t>
      </w:r>
      <w:r>
        <w:rPr>
          <w:rFonts w:hint="eastAsia" w:ascii="新宋体" w:hAnsi="新宋体" w:eastAsia="新宋体" w:cs="新宋体"/>
          <w:b/>
          <w:bCs/>
          <w:sz w:val="32"/>
          <w:szCs w:val="32"/>
          <w:highlight w:val="none"/>
          <w:vertAlign w:val="baseline"/>
        </w:rPr>
        <w:t>、持卡人申领</w:t>
      </w:r>
      <w:r>
        <w:rPr>
          <w:rFonts w:hint="eastAsia" w:ascii="新宋体" w:hAnsi="新宋体" w:eastAsia="新宋体" w:cs="新宋体"/>
          <w:b/>
          <w:sz w:val="32"/>
          <w:szCs w:val="32"/>
          <w:highlight w:val="none"/>
          <w:vertAlign w:val="baseline"/>
        </w:rPr>
        <w:t>圆鼎</w:t>
      </w:r>
      <w:r>
        <w:rPr>
          <w:rFonts w:hint="eastAsia" w:ascii="新宋体" w:hAnsi="新宋体" w:eastAsia="新宋体" w:cs="新宋体"/>
          <w:b/>
          <w:bCs/>
          <w:sz w:val="32"/>
          <w:szCs w:val="32"/>
          <w:highlight w:val="none"/>
          <w:vertAlign w:val="baseline"/>
        </w:rPr>
        <w:t>贷记卡以一定金额的存款作为质押担保的，未经</w:t>
      </w:r>
      <w:r>
        <w:rPr>
          <w:rFonts w:hint="eastAsia" w:ascii="新宋体" w:hAnsi="新宋体" w:eastAsia="新宋体" w:cs="新宋体"/>
          <w:b/>
          <w:bCs/>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同意，质押存款出质后至</w:t>
      </w:r>
      <w:r>
        <w:rPr>
          <w:rFonts w:hint="eastAsia" w:ascii="新宋体" w:hAnsi="新宋体" w:eastAsia="新宋体" w:cs="新宋体"/>
          <w:b/>
          <w:sz w:val="32"/>
          <w:szCs w:val="32"/>
          <w:highlight w:val="none"/>
          <w:vertAlign w:val="baseline"/>
        </w:rPr>
        <w:t>圆鼎</w:t>
      </w:r>
      <w:r>
        <w:rPr>
          <w:rFonts w:hint="eastAsia" w:ascii="新宋体" w:hAnsi="新宋体" w:eastAsia="新宋体" w:cs="新宋体"/>
          <w:b/>
          <w:bCs/>
          <w:sz w:val="32"/>
          <w:szCs w:val="32"/>
          <w:highlight w:val="none"/>
          <w:vertAlign w:val="baseline"/>
        </w:rPr>
        <w:t>贷记卡销户后</w:t>
      </w:r>
      <w:r>
        <w:rPr>
          <w:rFonts w:ascii="新宋体" w:hAnsi="新宋体" w:eastAsia="新宋体" w:cs="新宋体"/>
          <w:b/>
          <w:bCs/>
          <w:sz w:val="32"/>
          <w:szCs w:val="32"/>
          <w:highlight w:val="none"/>
          <w:vertAlign w:val="baseline"/>
        </w:rPr>
        <w:t>45</w:t>
      </w:r>
      <w:r>
        <w:rPr>
          <w:rFonts w:hint="eastAsia" w:ascii="新宋体" w:hAnsi="新宋体" w:eastAsia="新宋体" w:cs="新宋体"/>
          <w:b/>
          <w:bCs/>
          <w:sz w:val="32"/>
          <w:szCs w:val="32"/>
          <w:highlight w:val="none"/>
          <w:vertAlign w:val="baseline"/>
        </w:rPr>
        <w:t>日</w:t>
      </w:r>
      <w:r>
        <w:rPr>
          <w:rFonts w:ascii="新宋体" w:hAnsi="新宋体" w:eastAsia="新宋体" w:cs="新宋体"/>
          <w:b/>
          <w:bCs/>
          <w:sz w:val="32"/>
          <w:szCs w:val="32"/>
          <w:highlight w:val="none"/>
          <w:vertAlign w:val="baseline"/>
        </w:rPr>
        <w:t>内，不得支取。持卡人未按时清偿</w:t>
      </w:r>
      <w:r>
        <w:rPr>
          <w:rFonts w:hint="eastAsia" w:ascii="新宋体" w:hAnsi="新宋体" w:eastAsia="新宋体" w:cs="新宋体"/>
          <w:b/>
          <w:sz w:val="32"/>
          <w:szCs w:val="32"/>
          <w:highlight w:val="none"/>
          <w:vertAlign w:val="baseline"/>
        </w:rPr>
        <w:t>圆鼎</w:t>
      </w:r>
      <w:r>
        <w:rPr>
          <w:rFonts w:hint="eastAsia" w:ascii="新宋体" w:hAnsi="新宋体" w:eastAsia="新宋体" w:cs="新宋体"/>
          <w:b/>
          <w:bCs/>
          <w:sz w:val="32"/>
          <w:szCs w:val="32"/>
          <w:highlight w:val="none"/>
          <w:vertAlign w:val="baseline"/>
        </w:rPr>
        <w:t>贷记卡欠款时，</w:t>
      </w:r>
      <w:r>
        <w:rPr>
          <w:rFonts w:hint="eastAsia" w:ascii="新宋体" w:hAnsi="新宋体" w:eastAsia="新宋体" w:cs="新宋体"/>
          <w:b/>
          <w:bCs/>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有权随时扣划作为担保的质押存款以清偿欠款。</w:t>
      </w:r>
    </w:p>
    <w:p>
      <w:pPr>
        <w:spacing w:line="240" w:lineRule="auto"/>
        <w:ind w:firstLine="643" w:firstLineChars="200"/>
        <w:rPr>
          <w:rFonts w:ascii="新宋体" w:hAnsi="新宋体" w:eastAsia="新宋体" w:cs="新宋体"/>
          <w:b/>
          <w:snapToGrid w:val="0"/>
          <w:sz w:val="32"/>
          <w:szCs w:val="32"/>
          <w:highlight w:val="none"/>
        </w:rPr>
      </w:pPr>
      <w:r>
        <w:rPr>
          <w:rFonts w:ascii="新宋体" w:hAnsi="新宋体" w:eastAsia="新宋体" w:cs="新宋体"/>
          <w:b/>
          <w:snapToGrid w:val="0"/>
          <w:sz w:val="32"/>
          <w:szCs w:val="32"/>
          <w:highlight w:val="none"/>
          <w:vertAlign w:val="baseline"/>
        </w:rPr>
        <w:t>7</w:t>
      </w:r>
      <w:r>
        <w:rPr>
          <w:rFonts w:hint="eastAsia" w:ascii="新宋体" w:hAnsi="新宋体" w:eastAsia="新宋体" w:cs="新宋体"/>
          <w:b/>
          <w:snapToGrid w:val="0"/>
          <w:sz w:val="32"/>
          <w:szCs w:val="32"/>
          <w:highlight w:val="none"/>
          <w:vertAlign w:val="baseline"/>
        </w:rPr>
        <w:t>、因非</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原因引起的供电、通讯、网络故障或不可抗力等原因导致持卡人不能正常用卡的，</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视情况协助持卡人解决问题或提供必要的帮助，但对因此而可能给持卡人造成的损失不承担责任。</w:t>
      </w:r>
    </w:p>
    <w:p>
      <w:pPr>
        <w:shd w:val="solid" w:color="FEFEFE" w:fill="auto"/>
        <w:autoSpaceDN w:val="0"/>
        <w:spacing w:before="0" w:after="0" w:line="240" w:lineRule="auto"/>
        <w:ind w:right="0" w:firstLine="643"/>
        <w:rPr>
          <w:rFonts w:ascii="新宋体" w:hAnsi="新宋体" w:eastAsia="新宋体" w:cs="新宋体"/>
          <w:snapToGrid w:val="0"/>
          <w:sz w:val="32"/>
          <w:szCs w:val="32"/>
          <w:highlight w:val="none"/>
        </w:rPr>
      </w:pPr>
      <w:r>
        <w:rPr>
          <w:rFonts w:ascii="新宋体" w:hAnsi="新宋体" w:eastAsia="新宋体" w:cs="新宋体"/>
          <w:snapToGrid w:val="0"/>
          <w:sz w:val="32"/>
          <w:szCs w:val="32"/>
          <w:highlight w:val="none"/>
          <w:vertAlign w:val="baseline"/>
        </w:rPr>
        <w:t>8、</w:t>
      </w:r>
      <w:r>
        <w:rPr>
          <w:rFonts w:hint="eastAsia" w:ascii="新宋体" w:hAnsi="新宋体" w:eastAsia="新宋体" w:cs="新宋体"/>
          <w:snapToGrid w:val="0"/>
          <w:sz w:val="32"/>
          <w:szCs w:val="32"/>
          <w:highlight w:val="none"/>
          <w:vertAlign w:val="baseline"/>
          <w:lang w:eastAsia="zh-CN"/>
        </w:rPr>
        <w:t>本行</w:t>
      </w:r>
      <w:r>
        <w:rPr>
          <w:rFonts w:ascii="新宋体" w:hAnsi="新宋体" w:eastAsia="新宋体" w:cs="新宋体"/>
          <w:snapToGrid w:val="0"/>
          <w:sz w:val="32"/>
          <w:szCs w:val="32"/>
          <w:highlight w:val="none"/>
          <w:vertAlign w:val="baseline"/>
        </w:rPr>
        <w:t>对持卡人的授信额度实施动态管理，至少每年重新评估、测算和确定。对于风险状况出现恶化的</w:t>
      </w:r>
      <w:r>
        <w:rPr>
          <w:rFonts w:hint="eastAsia" w:ascii="新宋体" w:hAnsi="新宋体" w:eastAsia="新宋体" w:cs="新宋体"/>
          <w:snapToGrid w:val="0"/>
          <w:sz w:val="32"/>
          <w:szCs w:val="32"/>
          <w:highlight w:val="none"/>
          <w:vertAlign w:val="baseline"/>
        </w:rPr>
        <w:t>持卡人，</w:t>
      </w:r>
      <w:r>
        <w:rPr>
          <w:rFonts w:hint="eastAsia" w:ascii="新宋体" w:hAnsi="新宋体" w:eastAsia="新宋体" w:cs="新宋体"/>
          <w:snapToGrid w:val="0"/>
          <w:sz w:val="32"/>
          <w:szCs w:val="32"/>
          <w:highlight w:val="none"/>
          <w:vertAlign w:val="baseline"/>
          <w:lang w:eastAsia="zh-CN"/>
        </w:rPr>
        <w:t>本行</w:t>
      </w:r>
      <w:r>
        <w:rPr>
          <w:rFonts w:hint="eastAsia" w:ascii="新宋体" w:hAnsi="新宋体" w:eastAsia="新宋体" w:cs="新宋体"/>
          <w:snapToGrid w:val="0"/>
          <w:sz w:val="32"/>
          <w:szCs w:val="32"/>
          <w:highlight w:val="none"/>
          <w:vertAlign w:val="baseline"/>
        </w:rPr>
        <w:t>有权采取</w:t>
      </w:r>
      <w:r>
        <w:rPr>
          <w:rFonts w:ascii="新宋体" w:hAnsi="新宋体" w:eastAsia="新宋体" w:cs="新宋体"/>
          <w:snapToGrid w:val="0"/>
          <w:sz w:val="32"/>
          <w:szCs w:val="32"/>
          <w:highlight w:val="none"/>
          <w:vertAlign w:val="baseline"/>
        </w:rPr>
        <w:t>调减授信额度</w:t>
      </w:r>
      <w:r>
        <w:rPr>
          <w:rFonts w:hint="eastAsia" w:ascii="新宋体" w:hAnsi="新宋体" w:eastAsia="新宋体" w:cs="新宋体"/>
          <w:snapToGrid w:val="0"/>
          <w:sz w:val="32"/>
          <w:szCs w:val="32"/>
          <w:highlight w:val="none"/>
          <w:vertAlign w:val="baseline"/>
        </w:rPr>
        <w:t>等措施</w:t>
      </w:r>
      <w:r>
        <w:rPr>
          <w:rFonts w:ascii="新宋体" w:hAnsi="新宋体" w:eastAsia="新宋体" w:cs="新宋体"/>
          <w:snapToGrid w:val="0"/>
          <w:sz w:val="32"/>
          <w:szCs w:val="32"/>
          <w:highlight w:val="none"/>
          <w:vertAlign w:val="baseline"/>
        </w:rPr>
        <w:t>。对基</w:t>
      </w:r>
      <w:r>
        <w:rPr>
          <w:rFonts w:hint="eastAsia" w:ascii="新宋体" w:hAnsi="新宋体" w:eastAsia="新宋体" w:cs="新宋体"/>
          <w:snapToGrid w:val="0"/>
          <w:sz w:val="32"/>
          <w:szCs w:val="32"/>
          <w:highlight w:val="none"/>
          <w:vertAlign w:val="baseline"/>
        </w:rPr>
        <w:t>本情况优化或未发生变化的持卡人，根据其使用及还款等情况，</w:t>
      </w:r>
      <w:r>
        <w:rPr>
          <w:rFonts w:ascii="新宋体" w:hAnsi="新宋体" w:eastAsia="新宋体" w:cs="新宋体"/>
          <w:snapToGrid w:val="0"/>
          <w:sz w:val="32"/>
          <w:szCs w:val="32"/>
          <w:highlight w:val="none"/>
          <w:vertAlign w:val="baseline"/>
        </w:rPr>
        <w:t>经</w:t>
      </w:r>
      <w:r>
        <w:rPr>
          <w:rFonts w:hint="eastAsia" w:ascii="新宋体" w:hAnsi="新宋体" w:eastAsia="新宋体" w:cs="新宋体"/>
          <w:snapToGrid w:val="0"/>
          <w:sz w:val="32"/>
          <w:szCs w:val="32"/>
          <w:highlight w:val="none"/>
          <w:vertAlign w:val="baseline"/>
        </w:rPr>
        <w:t>持卡人</w:t>
      </w:r>
      <w:r>
        <w:rPr>
          <w:rFonts w:ascii="新宋体" w:hAnsi="新宋体" w:eastAsia="新宋体" w:cs="新宋体"/>
          <w:snapToGrid w:val="0"/>
          <w:sz w:val="32"/>
          <w:szCs w:val="32"/>
          <w:highlight w:val="none"/>
          <w:vertAlign w:val="baseline"/>
        </w:rPr>
        <w:t>同意</w:t>
      </w:r>
      <w:r>
        <w:rPr>
          <w:rFonts w:hint="eastAsia" w:ascii="新宋体" w:hAnsi="新宋体" w:eastAsia="新宋体" w:cs="新宋体"/>
          <w:snapToGrid w:val="0"/>
          <w:sz w:val="32"/>
          <w:szCs w:val="32"/>
          <w:highlight w:val="none"/>
          <w:vertAlign w:val="baseline"/>
        </w:rPr>
        <w:t>后，可重新审批</w:t>
      </w:r>
      <w:r>
        <w:rPr>
          <w:rFonts w:ascii="新宋体" w:hAnsi="新宋体" w:eastAsia="新宋体" w:cs="新宋体"/>
          <w:snapToGrid w:val="0"/>
          <w:sz w:val="32"/>
          <w:szCs w:val="32"/>
          <w:highlight w:val="none"/>
          <w:vertAlign w:val="baseline"/>
        </w:rPr>
        <w:t>调升授信额度。</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第三十六条</w:t>
      </w:r>
      <w:r>
        <w:rPr>
          <w:rFonts w:ascii="新宋体" w:hAnsi="新宋体" w:eastAsia="新宋体" w:cs="新宋体"/>
          <w:b/>
          <w:sz w:val="32"/>
          <w:szCs w:val="32"/>
          <w:highlight w:val="none"/>
          <w:vertAlign w:val="baseline"/>
        </w:rPr>
        <w:t xml:space="preserve"> </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的义务</w:t>
      </w:r>
    </w:p>
    <w:p>
      <w:pPr>
        <w:numPr>
          <w:ilvl w:val="0"/>
          <w:numId w:val="1"/>
        </w:numPr>
        <w:shd w:val="solid" w:color="FEFEFE" w:fill="auto"/>
        <w:autoSpaceDN w:val="0"/>
        <w:spacing w:before="0" w:after="0" w:line="240" w:lineRule="auto"/>
        <w:ind w:left="0" w:right="0" w:firstLine="640"/>
        <w:rPr>
          <w:rFonts w:ascii="新宋体" w:hAnsi="新宋体" w:eastAsia="新宋体" w:cs="新宋体"/>
          <w:bCs/>
          <w:sz w:val="32"/>
          <w:szCs w:val="32"/>
          <w:highlight w:val="none"/>
        </w:rPr>
      </w:pP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以书面或通过官网、手机银行、微信公众号等渠道提供圆鼎贷记卡使用的有关资料，充分告知客户包括章程、领用合约、收费项目及标准、年化利率、</w:t>
      </w:r>
      <w:r>
        <w:rPr>
          <w:rFonts w:ascii="新宋体" w:hAnsi="新宋体" w:eastAsia="新宋体" w:cs="新宋体"/>
          <w:bCs/>
          <w:sz w:val="32"/>
          <w:szCs w:val="32"/>
          <w:highlight w:val="none"/>
          <w:vertAlign w:val="baseline"/>
        </w:rPr>
        <w:t>使用</w:t>
      </w:r>
      <w:r>
        <w:rPr>
          <w:rFonts w:hint="eastAsia" w:ascii="新宋体" w:hAnsi="新宋体" w:eastAsia="新宋体" w:cs="新宋体"/>
          <w:bCs/>
          <w:sz w:val="32"/>
          <w:szCs w:val="32"/>
          <w:highlight w:val="none"/>
          <w:vertAlign w:val="baseline"/>
        </w:rPr>
        <w:t>贷记</w:t>
      </w:r>
      <w:r>
        <w:rPr>
          <w:rFonts w:ascii="新宋体" w:hAnsi="新宋体" w:eastAsia="新宋体" w:cs="新宋体"/>
          <w:bCs/>
          <w:sz w:val="32"/>
          <w:szCs w:val="32"/>
          <w:highlight w:val="none"/>
          <w:vertAlign w:val="baseline"/>
        </w:rPr>
        <w:t>卡涉及的法律风险和法律责任</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本机构咨询、投诉受理渠道，以及章程、客户签订的业务申请表、相关合同（协议）的查询渠道</w:t>
      </w:r>
      <w:r>
        <w:rPr>
          <w:rFonts w:hint="eastAsia" w:ascii="新宋体" w:hAnsi="新宋体" w:eastAsia="新宋体" w:cs="新宋体"/>
          <w:bCs/>
          <w:sz w:val="32"/>
          <w:szCs w:val="32"/>
          <w:highlight w:val="none"/>
          <w:vertAlign w:val="baseline"/>
        </w:rPr>
        <w:t>等</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包括但不限于官网、手机银行、微信公众号等。</w:t>
      </w:r>
    </w:p>
    <w:p>
      <w:pPr>
        <w:numPr>
          <w:ilvl w:val="0"/>
          <w:numId w:val="1"/>
        </w:numPr>
        <w:shd w:val="solid" w:color="FEFEFE" w:fill="auto"/>
        <w:autoSpaceDN w:val="0"/>
        <w:spacing w:before="0" w:after="0" w:line="240" w:lineRule="auto"/>
        <w:ind w:left="0" w:right="0" w:firstLine="640"/>
        <w:rPr>
          <w:rFonts w:ascii="新宋体" w:hAnsi="新宋体" w:eastAsia="新宋体" w:cs="新宋体"/>
          <w:bCs/>
          <w:sz w:val="32"/>
          <w:szCs w:val="32"/>
          <w:highlight w:val="none"/>
        </w:rPr>
      </w:pP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以合同约定的方式将还款通知、逾期信息上报等事项通知客户</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在为客户开通</w:t>
      </w:r>
      <w:r>
        <w:rPr>
          <w:rFonts w:hint="eastAsia" w:ascii="新宋体" w:hAnsi="新宋体" w:eastAsia="新宋体" w:cs="新宋体"/>
          <w:bCs/>
          <w:sz w:val="32"/>
          <w:szCs w:val="32"/>
          <w:highlight w:val="none"/>
          <w:vertAlign w:val="baseline"/>
        </w:rPr>
        <w:t>贷记</w:t>
      </w:r>
      <w:r>
        <w:rPr>
          <w:rFonts w:ascii="新宋体" w:hAnsi="新宋体" w:eastAsia="新宋体" w:cs="新宋体"/>
          <w:bCs/>
          <w:sz w:val="32"/>
          <w:szCs w:val="32"/>
          <w:highlight w:val="none"/>
          <w:vertAlign w:val="baseline"/>
        </w:rPr>
        <w:t>卡网络支付功能时，事前告知客户网络支付条款</w:t>
      </w:r>
      <w:r>
        <w:rPr>
          <w:rFonts w:hint="eastAsia" w:ascii="新宋体" w:hAnsi="新宋体" w:eastAsia="新宋体" w:cs="新宋体"/>
          <w:bCs/>
          <w:sz w:val="32"/>
          <w:szCs w:val="32"/>
          <w:highlight w:val="none"/>
          <w:vertAlign w:val="baseline"/>
        </w:rPr>
        <w:t>，</w:t>
      </w:r>
      <w:r>
        <w:rPr>
          <w:rFonts w:ascii="新宋体" w:hAnsi="新宋体" w:eastAsia="新宋体" w:cs="新宋体"/>
          <w:bCs/>
          <w:sz w:val="32"/>
          <w:szCs w:val="32"/>
          <w:highlight w:val="none"/>
          <w:vertAlign w:val="baseline"/>
        </w:rPr>
        <w:t>并就开通事宜</w:t>
      </w:r>
      <w:r>
        <w:rPr>
          <w:rFonts w:hint="eastAsia" w:ascii="新宋体" w:hAnsi="新宋体" w:eastAsia="新宋体" w:cs="新宋体"/>
          <w:bCs/>
          <w:sz w:val="32"/>
          <w:szCs w:val="32"/>
          <w:highlight w:val="none"/>
          <w:vertAlign w:val="baseline"/>
        </w:rPr>
        <w:t>与客户</w:t>
      </w:r>
      <w:r>
        <w:rPr>
          <w:rFonts w:ascii="新宋体" w:hAnsi="新宋体" w:eastAsia="新宋体" w:cs="新宋体"/>
          <w:bCs/>
          <w:sz w:val="32"/>
          <w:szCs w:val="32"/>
          <w:highlight w:val="none"/>
          <w:vertAlign w:val="baseline"/>
        </w:rPr>
        <w:t>达成一致意见。</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3、</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应向持卡人核发符合安全管理要求的贷记卡，并根据《领用合约》为持卡人提供贷记卡使用服务。</w:t>
      </w:r>
    </w:p>
    <w:p>
      <w:pPr>
        <w:autoSpaceDE w:val="0"/>
        <w:autoSpaceDN w:val="0"/>
        <w:adjustRightInd w:val="0"/>
        <w:ind w:firstLine="640" w:firstLineChars="200"/>
        <w:jc w:val="left"/>
        <w:rPr>
          <w:rFonts w:hint="default" w:ascii="新宋体" w:hAnsi="新宋体" w:eastAsia="新宋体" w:cs="新宋体"/>
          <w:bCs/>
          <w:sz w:val="32"/>
          <w:szCs w:val="32"/>
          <w:highlight w:val="none"/>
          <w:lang w:val="en-US" w:eastAsia="zh-CN"/>
        </w:rPr>
      </w:pPr>
      <w:r>
        <w:rPr>
          <w:rFonts w:ascii="新宋体" w:hAnsi="新宋体" w:eastAsia="新宋体" w:cs="新宋体"/>
          <w:bCs/>
          <w:sz w:val="32"/>
          <w:szCs w:val="32"/>
          <w:highlight w:val="none"/>
          <w:vertAlign w:val="baseline"/>
        </w:rPr>
        <w:t>4、</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应设立24</w:t>
      </w:r>
      <w:r>
        <w:rPr>
          <w:rFonts w:hint="eastAsia" w:ascii="新宋体" w:hAnsi="新宋体" w:eastAsia="新宋体" w:cs="新宋体"/>
          <w:bCs/>
          <w:sz w:val="32"/>
          <w:szCs w:val="32"/>
          <w:highlight w:val="none"/>
          <w:vertAlign w:val="baseline"/>
        </w:rPr>
        <w:t>小时客服热线和其他服务渠道，为申请人</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持卡人提供贷记卡申请处理进度和结果查询、贷记卡激活、对账单和账务查询、挂失补发和密码重置、业务咨询和办理、投诉处理等服务。</w:t>
      </w:r>
      <w:r>
        <w:rPr>
          <w:rFonts w:hint="eastAsia" w:ascii="新宋体" w:hAnsi="新宋体" w:eastAsia="新宋体" w:cs="新宋体"/>
          <w:bCs/>
          <w:sz w:val="32"/>
          <w:szCs w:val="32"/>
          <w:highlight w:val="none"/>
          <w:vertAlign w:val="baseline"/>
          <w:lang w:val="en-US" w:eastAsia="zh-CN"/>
        </w:rPr>
        <w:t>但因不可抗力、系统维护、第三方服务中断等非本行原因导致的服务中断，本行不承担赔偿责任。</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5、</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为贷记卡绑定支付账户等其他账户时，在尊重客户真实意愿的前提下，提供同等便利程度的解除绑定服务。客户申请销卡的，若确认无未结清款项后，及时为客户办理销卡。（特殊情况除外，包括但不限于核销账户及国家有权机关冻结的涉案账户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对申请人/</w:t>
      </w:r>
      <w:r>
        <w:rPr>
          <w:rFonts w:hint="eastAsia" w:ascii="新宋体" w:hAnsi="新宋体" w:eastAsia="新宋体" w:cs="新宋体"/>
          <w:bCs/>
          <w:sz w:val="32"/>
          <w:szCs w:val="32"/>
          <w:highlight w:val="none"/>
          <w:vertAlign w:val="baseline"/>
        </w:rPr>
        <w:t>持卡人的个人信息负有保密义务</w:t>
      </w:r>
      <w:r>
        <w:rPr>
          <w:rFonts w:hint="eastAsia" w:ascii="新宋体" w:hAnsi="新宋体" w:eastAsia="新宋体" w:cs="新宋体"/>
          <w:bCs/>
          <w:sz w:val="32"/>
          <w:szCs w:val="32"/>
          <w:highlight w:val="none"/>
          <w:vertAlign w:val="baseline"/>
          <w:lang w:eastAsia="zh-CN"/>
        </w:rPr>
        <w:t>，</w:t>
      </w:r>
      <w:r>
        <w:rPr>
          <w:rFonts w:ascii="新宋体" w:hAnsi="新宋体" w:eastAsia="新宋体" w:cs="新宋体"/>
          <w:bCs/>
          <w:sz w:val="32"/>
          <w:szCs w:val="32"/>
          <w:highlight w:val="none"/>
          <w:vertAlign w:val="baseline"/>
        </w:rPr>
        <w:t xml:space="preserve"> </w:t>
      </w:r>
      <w:r>
        <w:rPr>
          <w:rFonts w:hint="eastAsia" w:ascii="新宋体" w:hAnsi="新宋体" w:eastAsia="新宋体" w:cs="新宋体"/>
          <w:bCs/>
          <w:sz w:val="32"/>
          <w:szCs w:val="32"/>
          <w:highlight w:val="none"/>
          <w:vertAlign w:val="baseline"/>
        </w:rPr>
        <w:t>但法律法规、监管要求的规定或已签署的《领用合约》及其他协议另有约定的除外。</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7、本章程及《领用合约》规定的</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的其他义务。</w:t>
      </w:r>
    </w:p>
    <w:p>
      <w:pPr>
        <w:spacing w:line="240" w:lineRule="auto"/>
        <w:ind w:firstLine="643" w:firstLineChars="200"/>
        <w:rPr>
          <w:rFonts w:ascii="新宋体" w:hAnsi="新宋体" w:eastAsia="新宋体" w:cs="新宋体"/>
          <w:sz w:val="32"/>
          <w:szCs w:val="32"/>
          <w:highlight w:val="none"/>
        </w:rPr>
      </w:pPr>
      <w:r>
        <w:rPr>
          <w:rFonts w:hint="eastAsia" w:ascii="新宋体" w:hAnsi="新宋体" w:eastAsia="新宋体" w:cs="新宋体"/>
          <w:b/>
          <w:sz w:val="32"/>
          <w:szCs w:val="32"/>
          <w:highlight w:val="none"/>
          <w:vertAlign w:val="baseline"/>
        </w:rPr>
        <w:t>第三十</w:t>
      </w:r>
      <w:r>
        <w:rPr>
          <w:rFonts w:hint="default" w:ascii="新宋体" w:hAnsi="新宋体" w:eastAsia="新宋体" w:cs="新宋体"/>
          <w:b/>
          <w:sz w:val="32"/>
          <w:szCs w:val="32"/>
          <w:highlight w:val="none"/>
          <w:vertAlign w:val="baseline"/>
          <w:lang w:val="en-US"/>
        </w:rPr>
        <w:t>七</w:t>
      </w:r>
      <w:r>
        <w:rPr>
          <w:rFonts w:hint="eastAsia" w:ascii="新宋体" w:hAnsi="新宋体" w:eastAsia="新宋体" w:cs="新宋体"/>
          <w:b/>
          <w:sz w:val="32"/>
          <w:szCs w:val="32"/>
          <w:highlight w:val="none"/>
          <w:vertAlign w:val="baseline"/>
        </w:rPr>
        <w:t>条</w:t>
      </w:r>
      <w:r>
        <w:rPr>
          <w:rFonts w:ascii="新宋体" w:hAnsi="新宋体" w:eastAsia="新宋体" w:cs="新宋体"/>
          <w:sz w:val="32"/>
          <w:szCs w:val="32"/>
          <w:highlight w:val="none"/>
          <w:vertAlign w:val="baseline"/>
        </w:rPr>
        <w:t xml:space="preserve"> 申请人或持卡人的权利</w:t>
      </w:r>
    </w:p>
    <w:p>
      <w:pPr>
        <w:pStyle w:val="16"/>
        <w:ind w:firstLine="640" w:firstLineChars="200"/>
        <w:rPr>
          <w:rFonts w:ascii="新宋体" w:hAnsi="新宋体" w:eastAsia="新宋体" w:cs="新宋体"/>
          <w:bCs/>
          <w:color w:val="auto"/>
          <w:kern w:val="2"/>
          <w:sz w:val="32"/>
          <w:szCs w:val="32"/>
          <w:highlight w:val="none"/>
        </w:rPr>
      </w:pPr>
      <w:r>
        <w:rPr>
          <w:rFonts w:ascii="新宋体" w:hAnsi="新宋体" w:eastAsia="新宋体" w:cs="新宋体"/>
          <w:bCs/>
          <w:color w:val="auto"/>
          <w:kern w:val="2"/>
          <w:sz w:val="32"/>
          <w:szCs w:val="32"/>
          <w:highlight w:val="none"/>
          <w:vertAlign w:val="baseline"/>
        </w:rPr>
        <w:t>1</w:t>
      </w:r>
      <w:r>
        <w:rPr>
          <w:rFonts w:hint="eastAsia" w:ascii="新宋体" w:hAnsi="新宋体" w:eastAsia="新宋体" w:cs="新宋体"/>
          <w:bCs/>
          <w:color w:val="auto"/>
          <w:kern w:val="2"/>
          <w:sz w:val="32"/>
          <w:szCs w:val="32"/>
          <w:highlight w:val="none"/>
          <w:vertAlign w:val="baseline"/>
        </w:rPr>
        <w:t>、持卡人享有</w:t>
      </w:r>
      <w:r>
        <w:rPr>
          <w:rFonts w:hint="eastAsia" w:ascii="新宋体" w:hAnsi="新宋体" w:eastAsia="新宋体" w:cs="新宋体"/>
          <w:bCs/>
          <w:color w:val="auto"/>
          <w:kern w:val="2"/>
          <w:sz w:val="32"/>
          <w:szCs w:val="32"/>
          <w:highlight w:val="none"/>
          <w:vertAlign w:val="baseline"/>
          <w:lang w:eastAsia="zh-CN"/>
        </w:rPr>
        <w:t>本行</w:t>
      </w:r>
      <w:r>
        <w:rPr>
          <w:rFonts w:hint="eastAsia" w:ascii="新宋体" w:hAnsi="新宋体" w:eastAsia="新宋体" w:cs="新宋体"/>
          <w:bCs/>
          <w:color w:val="auto"/>
          <w:kern w:val="2"/>
          <w:sz w:val="32"/>
          <w:szCs w:val="32"/>
          <w:highlight w:val="none"/>
          <w:vertAlign w:val="baseline"/>
        </w:rPr>
        <w:t>对贷记卡所承诺的各项服务，有权监督</w:t>
      </w:r>
      <w:r>
        <w:rPr>
          <w:rFonts w:hint="eastAsia" w:ascii="新宋体" w:hAnsi="新宋体" w:eastAsia="新宋体" w:cs="新宋体"/>
          <w:bCs/>
          <w:color w:val="auto"/>
          <w:kern w:val="2"/>
          <w:sz w:val="32"/>
          <w:szCs w:val="32"/>
          <w:highlight w:val="none"/>
          <w:vertAlign w:val="baseline"/>
          <w:lang w:eastAsia="zh-CN"/>
        </w:rPr>
        <w:t>本行</w:t>
      </w:r>
      <w:r>
        <w:rPr>
          <w:rFonts w:hint="eastAsia" w:ascii="新宋体" w:hAnsi="新宋体" w:eastAsia="新宋体" w:cs="新宋体"/>
          <w:bCs/>
          <w:color w:val="auto"/>
          <w:kern w:val="2"/>
          <w:sz w:val="32"/>
          <w:szCs w:val="32"/>
          <w:highlight w:val="none"/>
          <w:vertAlign w:val="baseline"/>
        </w:rPr>
        <w:t>的服务质量，并对与承诺不符的服务进行投诉。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2</w:t>
      </w:r>
      <w:r>
        <w:rPr>
          <w:rFonts w:hint="eastAsia" w:ascii="新宋体" w:hAnsi="新宋体" w:eastAsia="新宋体" w:cs="新宋体"/>
          <w:bCs/>
          <w:sz w:val="32"/>
          <w:szCs w:val="32"/>
          <w:highlight w:val="none"/>
          <w:vertAlign w:val="baseline"/>
        </w:rPr>
        <w:t>、申请人</w:t>
      </w:r>
      <w:r>
        <w:rPr>
          <w:rFonts w:ascii="新宋体" w:hAnsi="新宋体" w:eastAsia="新宋体" w:cs="新宋体"/>
          <w:bCs/>
          <w:sz w:val="32"/>
          <w:szCs w:val="32"/>
          <w:highlight w:val="none"/>
          <w:vertAlign w:val="baseline"/>
        </w:rPr>
        <w:t>/</w:t>
      </w:r>
      <w:r>
        <w:rPr>
          <w:rFonts w:hint="eastAsia" w:ascii="新宋体" w:hAnsi="新宋体" w:eastAsia="新宋体" w:cs="新宋体"/>
          <w:bCs/>
          <w:sz w:val="32"/>
          <w:szCs w:val="32"/>
          <w:highlight w:val="none"/>
          <w:vertAlign w:val="baseline"/>
        </w:rPr>
        <w:t>持卡人有权查询贷记卡的功能、使用方法、章程、领用合约、收费项目及标准、风险揭示内容、年化利率、</w:t>
      </w:r>
      <w:r>
        <w:rPr>
          <w:rFonts w:ascii="新宋体" w:hAnsi="新宋体" w:eastAsia="新宋体" w:cs="新宋体"/>
          <w:bCs/>
          <w:sz w:val="32"/>
          <w:szCs w:val="32"/>
          <w:highlight w:val="none"/>
          <w:vertAlign w:val="baseline"/>
        </w:rPr>
        <w:t>使用</w:t>
      </w:r>
      <w:r>
        <w:rPr>
          <w:rFonts w:hint="eastAsia" w:ascii="新宋体" w:hAnsi="新宋体" w:eastAsia="新宋体" w:cs="新宋体"/>
          <w:bCs/>
          <w:sz w:val="32"/>
          <w:szCs w:val="32"/>
          <w:highlight w:val="none"/>
          <w:vertAlign w:val="baseline"/>
        </w:rPr>
        <w:t>贷记卡</w:t>
      </w:r>
      <w:r>
        <w:rPr>
          <w:rFonts w:ascii="新宋体" w:hAnsi="新宋体" w:eastAsia="新宋体" w:cs="新宋体"/>
          <w:bCs/>
          <w:sz w:val="32"/>
          <w:szCs w:val="32"/>
          <w:highlight w:val="none"/>
          <w:vertAlign w:val="baseline"/>
        </w:rPr>
        <w:t>涉及的法律风险和法律责任</w:t>
      </w:r>
      <w:r>
        <w:rPr>
          <w:rFonts w:hint="eastAsia" w:ascii="新宋体" w:hAnsi="新宋体" w:eastAsia="新宋体" w:cs="新宋体"/>
          <w:bCs/>
          <w:sz w:val="32"/>
          <w:szCs w:val="32"/>
          <w:highlight w:val="none"/>
          <w:vertAlign w:val="baseline"/>
        </w:rPr>
        <w:t>、宣传销售文本等。</w:t>
      </w:r>
    </w:p>
    <w:p>
      <w:pPr>
        <w:autoSpaceDE w:val="0"/>
        <w:autoSpaceDN w:val="0"/>
        <w:adjustRightInd w:val="0"/>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3</w:t>
      </w:r>
      <w:r>
        <w:rPr>
          <w:rFonts w:hint="eastAsia" w:ascii="新宋体" w:hAnsi="新宋体" w:eastAsia="新宋体" w:cs="新宋体"/>
          <w:bCs/>
          <w:sz w:val="32"/>
          <w:szCs w:val="32"/>
          <w:highlight w:val="none"/>
          <w:vertAlign w:val="baseline"/>
        </w:rPr>
        <w:t>、持卡人有权获取贷记卡对账单，了解贷记卡的账务情况，并对有疑问的交易提出异议。</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4</w:t>
      </w:r>
      <w:r>
        <w:rPr>
          <w:rFonts w:hint="eastAsia" w:ascii="新宋体" w:hAnsi="新宋体" w:eastAsia="新宋体" w:cs="新宋体"/>
          <w:bCs/>
          <w:sz w:val="32"/>
          <w:szCs w:val="32"/>
          <w:highlight w:val="none"/>
          <w:vertAlign w:val="baseline"/>
        </w:rPr>
        <w:t>、在法律法规规定及支付清算组织规定的期限内，持卡人有权向</w:t>
      </w: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申请协助调阅签购单副本，相关费用由持卡人承担。</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5</w:t>
      </w:r>
      <w:r>
        <w:rPr>
          <w:rFonts w:hint="eastAsia" w:ascii="新宋体" w:hAnsi="新宋体" w:eastAsia="新宋体" w:cs="新宋体"/>
          <w:bCs/>
          <w:sz w:val="32"/>
          <w:szCs w:val="32"/>
          <w:highlight w:val="none"/>
          <w:vertAlign w:val="baseline"/>
        </w:rPr>
        <w:t>、持卡人不承担其圆鼎贷记卡在挂失生效后因该卡被伪冒、盗用所产生的经济损失（国家有权机关依法扣划持卡人名下贷记卡内溢缴款的情况除外）。</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bCs/>
          <w:sz w:val="32"/>
          <w:szCs w:val="32"/>
          <w:highlight w:val="none"/>
          <w:vertAlign w:val="baseline"/>
        </w:rPr>
        <w:t>、本章程及《领用合约》规定的持卡人的其他权利。</w:t>
      </w:r>
    </w:p>
    <w:p>
      <w:pPr>
        <w:spacing w:line="240" w:lineRule="auto"/>
        <w:ind w:firstLine="643" w:firstLineChars="200"/>
        <w:rPr>
          <w:rFonts w:ascii="新宋体" w:hAnsi="新宋体" w:eastAsia="新宋体" w:cs="新宋体"/>
          <w:bCs/>
          <w:sz w:val="32"/>
          <w:szCs w:val="32"/>
          <w:highlight w:val="none"/>
        </w:rPr>
      </w:pPr>
      <w:r>
        <w:rPr>
          <w:rFonts w:hint="eastAsia" w:ascii="新宋体" w:hAnsi="新宋体" w:eastAsia="新宋体" w:cs="新宋体"/>
          <w:b/>
          <w:bCs/>
          <w:sz w:val="32"/>
          <w:szCs w:val="32"/>
          <w:highlight w:val="none"/>
          <w:vertAlign w:val="baseline"/>
        </w:rPr>
        <w:t>第三十</w:t>
      </w:r>
      <w:r>
        <w:rPr>
          <w:rFonts w:hint="default" w:ascii="新宋体" w:hAnsi="新宋体" w:eastAsia="新宋体" w:cs="新宋体"/>
          <w:b/>
          <w:bCs/>
          <w:sz w:val="32"/>
          <w:szCs w:val="32"/>
          <w:highlight w:val="none"/>
          <w:vertAlign w:val="baseline"/>
          <w:lang w:val="en-US"/>
        </w:rPr>
        <w:t>八</w:t>
      </w:r>
      <w:r>
        <w:rPr>
          <w:rFonts w:hint="eastAsia" w:ascii="新宋体" w:hAnsi="新宋体" w:eastAsia="新宋体" w:cs="新宋体"/>
          <w:b/>
          <w:bCs/>
          <w:sz w:val="32"/>
          <w:szCs w:val="32"/>
          <w:highlight w:val="none"/>
          <w:vertAlign w:val="baseline"/>
        </w:rPr>
        <w:t>条</w:t>
      </w:r>
      <w:r>
        <w:rPr>
          <w:rFonts w:ascii="新宋体" w:hAnsi="新宋体" w:eastAsia="新宋体" w:cs="新宋体"/>
          <w:b/>
          <w:bCs/>
          <w:sz w:val="32"/>
          <w:szCs w:val="32"/>
          <w:highlight w:val="none"/>
          <w:vertAlign w:val="baseline"/>
        </w:rPr>
        <w:t xml:space="preserve"> </w:t>
      </w:r>
      <w:r>
        <w:rPr>
          <w:rFonts w:hint="eastAsia" w:ascii="新宋体" w:hAnsi="新宋体" w:eastAsia="新宋体" w:cs="新宋体"/>
          <w:bCs/>
          <w:sz w:val="32"/>
          <w:szCs w:val="32"/>
          <w:highlight w:val="none"/>
          <w:vertAlign w:val="baseline"/>
        </w:rPr>
        <w:t>申请人</w:t>
      </w:r>
      <w:r>
        <w:rPr>
          <w:rFonts w:ascii="新宋体" w:hAnsi="新宋体" w:eastAsia="新宋体" w:cs="新宋体"/>
          <w:bCs/>
          <w:sz w:val="32"/>
          <w:szCs w:val="32"/>
          <w:highlight w:val="none"/>
          <w:vertAlign w:val="baseline"/>
        </w:rPr>
        <w:t>或持卡人的</w:t>
      </w:r>
      <w:r>
        <w:rPr>
          <w:rFonts w:hint="eastAsia" w:ascii="新宋体" w:hAnsi="新宋体" w:eastAsia="新宋体" w:cs="新宋体"/>
          <w:bCs/>
          <w:sz w:val="32"/>
          <w:szCs w:val="32"/>
          <w:highlight w:val="none"/>
          <w:vertAlign w:val="baseline"/>
        </w:rPr>
        <w:t>义务</w:t>
      </w:r>
    </w:p>
    <w:p>
      <w:pPr>
        <w:widowControl/>
        <w:spacing w:line="240" w:lineRule="auto"/>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1、申请人应向</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提供准确、完整、真实、有效的资料，并同意</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依照法律、法规和监管要求或按双方约定向相关单位或机构提供其有关资料或信息。若</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认为需要，申请人应向</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提供符合条件的担保及其他有关资料。</w:t>
      </w:r>
    </w:p>
    <w:p>
      <w:pPr>
        <w:widowControl/>
        <w:spacing w:line="240" w:lineRule="auto"/>
        <w:ind w:firstLine="640" w:firstLineChars="200"/>
        <w:jc w:val="left"/>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2、持卡人和担保人如工作单位、通讯地址、电话、电子邮箱、身份证件信息等发生变更，应当主动到</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或与</w:t>
      </w:r>
      <w:r>
        <w:rPr>
          <w:rFonts w:hint="eastAsia" w:ascii="新宋体" w:hAnsi="新宋体" w:eastAsia="新宋体" w:cs="新宋体"/>
          <w:bCs/>
          <w:sz w:val="32"/>
          <w:szCs w:val="32"/>
          <w:highlight w:val="none"/>
          <w:vertAlign w:val="baseline"/>
          <w:lang w:eastAsia="zh-CN"/>
        </w:rPr>
        <w:t>本行</w:t>
      </w:r>
      <w:r>
        <w:rPr>
          <w:rFonts w:ascii="新宋体" w:hAnsi="新宋体" w:eastAsia="新宋体" w:cs="新宋体"/>
          <w:bCs/>
          <w:sz w:val="32"/>
          <w:szCs w:val="32"/>
          <w:highlight w:val="none"/>
          <w:vertAlign w:val="baseline"/>
        </w:rPr>
        <w:t>联系办理资料变更手续。否则，因未变更所导致的损失由持卡人自行承担。</w:t>
      </w:r>
    </w:p>
    <w:p>
      <w:pPr>
        <w:widowControl/>
        <w:spacing w:line="240" w:lineRule="auto"/>
        <w:ind w:firstLine="643" w:firstLineChars="200"/>
        <w:jc w:val="left"/>
        <w:rPr>
          <w:rFonts w:ascii="新宋体" w:hAnsi="新宋体" w:eastAsia="新宋体" w:cs="新宋体"/>
          <w:b/>
          <w:bCs/>
          <w:sz w:val="32"/>
          <w:szCs w:val="32"/>
          <w:highlight w:val="none"/>
        </w:rPr>
      </w:pPr>
      <w:r>
        <w:rPr>
          <w:rFonts w:ascii="新宋体" w:hAnsi="新宋体" w:eastAsia="新宋体" w:cs="新宋体"/>
          <w:b/>
          <w:bCs/>
          <w:sz w:val="32"/>
          <w:szCs w:val="32"/>
          <w:highlight w:val="none"/>
          <w:vertAlign w:val="baseline"/>
        </w:rPr>
        <w:t>3</w:t>
      </w:r>
      <w:r>
        <w:rPr>
          <w:rFonts w:hint="eastAsia" w:ascii="新宋体" w:hAnsi="新宋体" w:eastAsia="新宋体" w:cs="新宋体"/>
          <w:b/>
          <w:bCs/>
          <w:sz w:val="32"/>
          <w:szCs w:val="32"/>
          <w:highlight w:val="none"/>
          <w:vertAlign w:val="baseline"/>
        </w:rPr>
        <w:t>、持卡人应妥善保管自己的圆鼎贷记</w:t>
      </w:r>
      <w:r>
        <w:rPr>
          <w:rFonts w:ascii="新宋体" w:hAnsi="新宋体" w:eastAsia="新宋体" w:cs="新宋体"/>
          <w:b/>
          <w:bCs/>
          <w:sz w:val="32"/>
          <w:szCs w:val="32"/>
          <w:highlight w:val="none"/>
          <w:vertAlign w:val="baseline"/>
        </w:rPr>
        <w:t>卡</w:t>
      </w:r>
      <w:r>
        <w:rPr>
          <w:rFonts w:hint="eastAsia" w:ascii="新宋体" w:hAnsi="新宋体" w:eastAsia="新宋体" w:cs="新宋体"/>
          <w:b/>
          <w:bCs/>
          <w:sz w:val="32"/>
          <w:szCs w:val="32"/>
          <w:highlight w:val="none"/>
          <w:vertAlign w:val="baseline"/>
        </w:rPr>
        <w:t>卡片、卡片信息及密码。若因卡片、卡片信息或密码保管不善等原因造成的损失，由持卡人自行承担。卡片</w:t>
      </w:r>
      <w:r>
        <w:rPr>
          <w:rFonts w:ascii="新宋体" w:hAnsi="新宋体" w:eastAsia="新宋体" w:cs="新宋体"/>
          <w:b/>
          <w:bCs/>
          <w:sz w:val="32"/>
          <w:szCs w:val="32"/>
          <w:highlight w:val="none"/>
          <w:vertAlign w:val="baseline"/>
        </w:rPr>
        <w:t>一旦遗失，</w:t>
      </w:r>
      <w:r>
        <w:rPr>
          <w:rFonts w:hint="eastAsia" w:ascii="新宋体" w:hAnsi="新宋体" w:eastAsia="新宋体" w:cs="新宋体"/>
          <w:b/>
          <w:bCs/>
          <w:sz w:val="32"/>
          <w:szCs w:val="32"/>
          <w:highlight w:val="none"/>
          <w:vertAlign w:val="baseline"/>
        </w:rPr>
        <w:t>应及时通过</w:t>
      </w:r>
      <w:r>
        <w:rPr>
          <w:rFonts w:hint="eastAsia" w:ascii="新宋体" w:hAnsi="新宋体" w:eastAsia="新宋体" w:cs="新宋体"/>
          <w:b/>
          <w:bCs/>
          <w:sz w:val="32"/>
          <w:szCs w:val="32"/>
          <w:highlight w:val="none"/>
          <w:vertAlign w:val="baseline"/>
          <w:lang w:eastAsia="zh-CN"/>
        </w:rPr>
        <w:t>本行</w:t>
      </w:r>
      <w:r>
        <w:rPr>
          <w:rFonts w:hint="eastAsia" w:ascii="新宋体" w:hAnsi="新宋体" w:eastAsia="新宋体" w:cs="新宋体"/>
          <w:b/>
          <w:bCs/>
          <w:sz w:val="32"/>
          <w:szCs w:val="32"/>
          <w:highlight w:val="none"/>
          <w:vertAlign w:val="baseline"/>
        </w:rPr>
        <w:t>客户服务热线办理挂失；圆鼎贷记卡仅限持卡人本人使用，因出租、转让或转借贷记卡而产生的一切后果由持卡人承担。</w:t>
      </w:r>
    </w:p>
    <w:p>
      <w:pPr>
        <w:widowControl/>
        <w:spacing w:line="240" w:lineRule="auto"/>
        <w:ind w:firstLine="640" w:firstLineChars="200"/>
        <w:jc w:val="left"/>
        <w:rPr>
          <w:rFonts w:ascii="新宋体" w:hAnsi="新宋体" w:eastAsia="新宋体" w:cs="新宋体"/>
          <w:sz w:val="32"/>
          <w:szCs w:val="32"/>
          <w:highlight w:val="none"/>
        </w:rPr>
      </w:pPr>
      <w:r>
        <w:rPr>
          <w:rFonts w:ascii="新宋体" w:hAnsi="新宋体" w:eastAsia="新宋体" w:cs="新宋体"/>
          <w:bCs/>
          <w:sz w:val="32"/>
          <w:szCs w:val="32"/>
          <w:highlight w:val="none"/>
          <w:vertAlign w:val="baseline"/>
        </w:rPr>
        <w:t>4</w:t>
      </w:r>
      <w:r>
        <w:rPr>
          <w:rFonts w:hint="eastAsia" w:ascii="新宋体" w:hAnsi="新宋体" w:eastAsia="新宋体" w:cs="新宋体"/>
          <w:bCs/>
          <w:sz w:val="32"/>
          <w:szCs w:val="32"/>
          <w:highlight w:val="none"/>
          <w:vertAlign w:val="baseline"/>
        </w:rPr>
        <w:t>、</w:t>
      </w:r>
      <w:r>
        <w:rPr>
          <w:rFonts w:hint="eastAsia" w:ascii="新宋体" w:hAnsi="新宋体" w:eastAsia="新宋体" w:cs="新宋体"/>
          <w:sz w:val="32"/>
          <w:szCs w:val="32"/>
          <w:highlight w:val="none"/>
          <w:vertAlign w:val="baseline"/>
        </w:rPr>
        <w:t>持卡人需要修改、重置密码的，应按</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指定的方式申请更换密码。贷记卡损坏时，持卡人应按</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规定的或双方约定的其他方式办理换卡手续。</w:t>
      </w:r>
    </w:p>
    <w:p>
      <w:pPr>
        <w:spacing w:line="240" w:lineRule="auto"/>
        <w:ind w:firstLine="640" w:firstLineChars="200"/>
        <w:rPr>
          <w:rFonts w:ascii="新宋体" w:hAnsi="新宋体" w:eastAsia="新宋体" w:cs="新宋体"/>
          <w:sz w:val="32"/>
          <w:szCs w:val="32"/>
          <w:highlight w:val="none"/>
        </w:rPr>
      </w:pPr>
      <w:r>
        <w:rPr>
          <w:rFonts w:ascii="新宋体" w:hAnsi="新宋体" w:eastAsia="新宋体" w:cs="新宋体"/>
          <w:sz w:val="32"/>
          <w:szCs w:val="32"/>
          <w:highlight w:val="none"/>
          <w:vertAlign w:val="baseline"/>
        </w:rPr>
        <w:t>5</w:t>
      </w:r>
      <w:r>
        <w:rPr>
          <w:rFonts w:hint="eastAsia" w:ascii="新宋体" w:hAnsi="新宋体" w:eastAsia="新宋体" w:cs="新宋体"/>
          <w:sz w:val="32"/>
          <w:szCs w:val="32"/>
          <w:highlight w:val="none"/>
          <w:vertAlign w:val="baseline"/>
        </w:rPr>
        <w:t>、圆鼎贷记卡遗失、被窃或遭他人占有时，持卡人应及时通过圆鼎贷记卡客户服务热线办理挂失。</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在核对相关资料后进行相关挂失处理。电话挂失经</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确认后即生效，挂失正式生效前所发生经济损失均由持卡人承担，但持卡人和</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另有约定的除外。贷记卡遗失、被窃或遭他人占有的，持卡人应配合</w:t>
      </w:r>
      <w:r>
        <w:rPr>
          <w:rFonts w:hint="eastAsia" w:ascii="新宋体" w:hAnsi="新宋体" w:eastAsia="新宋体" w:cs="新宋体"/>
          <w:sz w:val="32"/>
          <w:szCs w:val="32"/>
          <w:highlight w:val="none"/>
          <w:vertAlign w:val="baseline"/>
          <w:lang w:eastAsia="zh-CN"/>
        </w:rPr>
        <w:t>本行</w:t>
      </w:r>
      <w:r>
        <w:rPr>
          <w:rFonts w:hint="eastAsia" w:ascii="新宋体" w:hAnsi="新宋体" w:eastAsia="新宋体" w:cs="新宋体"/>
          <w:sz w:val="32"/>
          <w:szCs w:val="32"/>
          <w:highlight w:val="none"/>
          <w:vertAlign w:val="baseline"/>
        </w:rPr>
        <w:t>调查情况。持卡人与他人合谋、恶意串通、套现、洗钱或有其他任何违法、不诚信的行为，持卡人承担全部法律后果和责任。</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6</w:t>
      </w:r>
      <w:r>
        <w:rPr>
          <w:rFonts w:hint="eastAsia" w:ascii="新宋体" w:hAnsi="新宋体" w:eastAsia="新宋体" w:cs="新宋体"/>
          <w:bCs/>
          <w:sz w:val="32"/>
          <w:szCs w:val="32"/>
          <w:highlight w:val="none"/>
          <w:vertAlign w:val="baseline"/>
        </w:rPr>
        <w:t>、持卡人应按照与</w:t>
      </w: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的约定，按时偿还透支款本金、利息、年费、手续费等费用，不得以与商户纠纷或与其他第三方的纠纷等为由拒绝支付所欠</w:t>
      </w: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款项。如遇贷记卡的单据有误或内容不全，但经确认交易确实存在且金额无误，持卡人不得拒绝支付该交易款项。</w:t>
      </w:r>
    </w:p>
    <w:p>
      <w:pPr>
        <w:spacing w:line="240" w:lineRule="auto"/>
        <w:ind w:firstLine="640" w:firstLineChars="200"/>
        <w:rPr>
          <w:rFonts w:ascii="新宋体" w:hAnsi="新宋体" w:eastAsia="新宋体" w:cs="新宋体"/>
          <w:bCs/>
          <w:sz w:val="32"/>
          <w:szCs w:val="32"/>
          <w:highlight w:val="none"/>
        </w:rPr>
      </w:pPr>
      <w:r>
        <w:rPr>
          <w:rFonts w:ascii="新宋体" w:hAnsi="新宋体" w:eastAsia="新宋体" w:cs="新宋体"/>
          <w:bCs/>
          <w:sz w:val="32"/>
          <w:szCs w:val="32"/>
          <w:highlight w:val="none"/>
          <w:vertAlign w:val="baseline"/>
        </w:rPr>
        <w:t>7</w:t>
      </w:r>
      <w:r>
        <w:rPr>
          <w:rFonts w:hint="eastAsia" w:ascii="新宋体" w:hAnsi="新宋体" w:eastAsia="新宋体" w:cs="新宋体"/>
          <w:bCs/>
          <w:sz w:val="32"/>
          <w:szCs w:val="32"/>
          <w:highlight w:val="none"/>
          <w:vertAlign w:val="baseline"/>
        </w:rPr>
        <w:t>、持卡人用卡后应妥善保管交易凭证，以防卡片资料被他人盗取。持卡人应注意查收对账单，如未按时收到对账单，应主动及时向</w:t>
      </w: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查询。持卡人不能以未收到对账单为由拒绝向</w:t>
      </w: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支付欠款（包括相应的费用、利息等）。</w:t>
      </w:r>
    </w:p>
    <w:p>
      <w:pPr>
        <w:spacing w:line="240" w:lineRule="auto"/>
        <w:ind w:firstLine="640" w:firstLineChars="200"/>
        <w:rPr>
          <w:rFonts w:hint="eastAsia" w:ascii="新宋体" w:hAnsi="新宋体" w:eastAsia="新宋体" w:cs="新宋体"/>
          <w:bCs/>
          <w:sz w:val="32"/>
          <w:szCs w:val="32"/>
          <w:highlight w:val="none"/>
          <w:vertAlign w:val="baseline"/>
        </w:rPr>
      </w:pPr>
      <w:r>
        <w:rPr>
          <w:rFonts w:ascii="新宋体" w:hAnsi="新宋体" w:eastAsia="新宋体" w:cs="新宋体"/>
          <w:bCs/>
          <w:sz w:val="32"/>
          <w:szCs w:val="32"/>
          <w:highlight w:val="none"/>
          <w:vertAlign w:val="baseline"/>
        </w:rPr>
        <w:t>8</w:t>
      </w:r>
      <w:r>
        <w:rPr>
          <w:rFonts w:hint="eastAsia" w:ascii="新宋体" w:hAnsi="新宋体" w:eastAsia="新宋体" w:cs="新宋体"/>
          <w:bCs/>
          <w:sz w:val="32"/>
          <w:szCs w:val="32"/>
          <w:highlight w:val="none"/>
          <w:vertAlign w:val="baseline"/>
        </w:rPr>
        <w:t>、为防范风险，保障</w:t>
      </w: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、持卡人利益，持卡人应配合</w:t>
      </w:r>
      <w:r>
        <w:rPr>
          <w:rFonts w:hint="eastAsia" w:ascii="新宋体" w:hAnsi="新宋体" w:eastAsia="新宋体" w:cs="新宋体"/>
          <w:bCs/>
          <w:sz w:val="32"/>
          <w:szCs w:val="32"/>
          <w:highlight w:val="none"/>
          <w:vertAlign w:val="baseline"/>
          <w:lang w:eastAsia="zh-CN"/>
        </w:rPr>
        <w:t>本行</w:t>
      </w:r>
      <w:r>
        <w:rPr>
          <w:rFonts w:hint="eastAsia" w:ascii="新宋体" w:hAnsi="新宋体" w:eastAsia="新宋体" w:cs="新宋体"/>
          <w:bCs/>
          <w:sz w:val="32"/>
          <w:szCs w:val="32"/>
          <w:highlight w:val="none"/>
          <w:vertAlign w:val="baseline"/>
        </w:rPr>
        <w:t>及特约商户完成风险防范操作。</w:t>
      </w:r>
    </w:p>
    <w:p>
      <w:pPr>
        <w:spacing w:line="240" w:lineRule="auto"/>
        <w:ind w:firstLine="640" w:firstLineChars="200"/>
        <w:rPr>
          <w:rFonts w:hint="eastAsia" w:ascii="新宋体" w:hAnsi="新宋体" w:eastAsia="新宋体" w:cs="新宋体"/>
          <w:bCs/>
          <w:sz w:val="32"/>
          <w:szCs w:val="32"/>
          <w:highlight w:val="none"/>
          <w:vertAlign w:val="baseline"/>
        </w:rPr>
      </w:pPr>
    </w:p>
    <w:p>
      <w:pPr>
        <w:pStyle w:val="7"/>
        <w:spacing w:line="240" w:lineRule="auto"/>
        <w:jc w:val="center"/>
        <w:rPr>
          <w:rFonts w:ascii="新宋体" w:hAnsi="新宋体" w:eastAsia="新宋体" w:cs="新宋体"/>
          <w:b/>
          <w:sz w:val="32"/>
          <w:szCs w:val="32"/>
          <w:highlight w:val="none"/>
        </w:rPr>
      </w:pPr>
      <w:r>
        <w:rPr>
          <w:rFonts w:hint="eastAsia" w:ascii="新宋体" w:hAnsi="新宋体" w:eastAsia="新宋体" w:cs="新宋体"/>
          <w:b/>
          <w:kern w:val="0"/>
          <w:sz w:val="32"/>
          <w:szCs w:val="32"/>
          <w:highlight w:val="none"/>
          <w:vertAlign w:val="baseline"/>
        </w:rPr>
        <w:t xml:space="preserve">第六章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 xml:space="preserve">附 </w:t>
      </w:r>
      <w:r>
        <w:rPr>
          <w:rFonts w:ascii="新宋体" w:hAnsi="新宋体" w:eastAsia="新宋体" w:cs="新宋体"/>
          <w:b/>
          <w:kern w:val="0"/>
          <w:sz w:val="32"/>
          <w:szCs w:val="32"/>
          <w:highlight w:val="none"/>
          <w:vertAlign w:val="baseline"/>
        </w:rPr>
        <w:t> </w:t>
      </w:r>
      <w:r>
        <w:rPr>
          <w:rFonts w:hint="eastAsia" w:ascii="新宋体" w:hAnsi="新宋体" w:eastAsia="新宋体" w:cs="新宋体"/>
          <w:b/>
          <w:kern w:val="0"/>
          <w:sz w:val="32"/>
          <w:szCs w:val="32"/>
          <w:highlight w:val="none"/>
          <w:vertAlign w:val="baseline"/>
        </w:rPr>
        <w:t>则</w:t>
      </w:r>
    </w:p>
    <w:p>
      <w:pPr>
        <w:spacing w:line="240" w:lineRule="auto"/>
        <w:ind w:firstLine="643" w:firstLineChars="200"/>
        <w:rPr>
          <w:rFonts w:ascii="新宋体" w:hAnsi="新宋体" w:eastAsia="新宋体" w:cs="新宋体"/>
          <w:snapToGrid w:val="0"/>
          <w:sz w:val="32"/>
          <w:szCs w:val="32"/>
          <w:highlight w:val="none"/>
        </w:rPr>
      </w:pPr>
      <w:r>
        <w:rPr>
          <w:rFonts w:hint="eastAsia" w:ascii="新宋体" w:hAnsi="新宋体" w:eastAsia="新宋体" w:cs="新宋体"/>
          <w:b/>
          <w:snapToGrid w:val="0"/>
          <w:sz w:val="32"/>
          <w:szCs w:val="32"/>
          <w:highlight w:val="none"/>
          <w:vertAlign w:val="baseline"/>
        </w:rPr>
        <w:t>第三十</w:t>
      </w:r>
      <w:r>
        <w:rPr>
          <w:rFonts w:hint="default" w:ascii="新宋体" w:hAnsi="新宋体" w:eastAsia="新宋体" w:cs="新宋体"/>
          <w:b/>
          <w:snapToGrid w:val="0"/>
          <w:sz w:val="32"/>
          <w:szCs w:val="32"/>
          <w:highlight w:val="none"/>
          <w:vertAlign w:val="baseline"/>
          <w:lang w:val="en-US"/>
        </w:rPr>
        <w:t>九</w:t>
      </w:r>
      <w:r>
        <w:rPr>
          <w:rFonts w:hint="eastAsia" w:ascii="新宋体" w:hAnsi="新宋体" w:eastAsia="新宋体" w:cs="新宋体"/>
          <w:b/>
          <w:snapToGrid w:val="0"/>
          <w:sz w:val="32"/>
          <w:szCs w:val="32"/>
          <w:highlight w:val="none"/>
          <w:vertAlign w:val="baseline"/>
        </w:rPr>
        <w:t>条</w:t>
      </w:r>
      <w:r>
        <w:rPr>
          <w:rFonts w:ascii="新宋体" w:hAnsi="新宋体" w:eastAsia="新宋体" w:cs="新宋体"/>
          <w:snapToGrid w:val="0"/>
          <w:sz w:val="32"/>
          <w:szCs w:val="32"/>
          <w:highlight w:val="none"/>
          <w:vertAlign w:val="baseline"/>
        </w:rPr>
        <w:t xml:space="preserve"> 本章程未尽事宜，按照有关法律、法规、规章和领用合约执行。</w:t>
      </w:r>
    </w:p>
    <w:p>
      <w:pPr>
        <w:spacing w:line="240" w:lineRule="auto"/>
        <w:ind w:firstLine="640" w:firstLineChars="200"/>
        <w:rPr>
          <w:rFonts w:ascii="新宋体" w:hAnsi="新宋体" w:eastAsia="新宋体" w:cs="新宋体"/>
          <w:snapToGrid w:val="0"/>
          <w:sz w:val="32"/>
          <w:szCs w:val="32"/>
          <w:highlight w:val="none"/>
        </w:rPr>
      </w:pPr>
      <w:r>
        <w:rPr>
          <w:rFonts w:hint="eastAsia" w:ascii="新宋体" w:hAnsi="新宋体" w:eastAsia="新宋体" w:cs="新宋体"/>
          <w:snapToGrid w:val="0"/>
          <w:sz w:val="32"/>
          <w:szCs w:val="32"/>
          <w:highlight w:val="none"/>
          <w:vertAlign w:val="baseline"/>
        </w:rPr>
        <w:t>持卡人与</w:t>
      </w:r>
      <w:r>
        <w:rPr>
          <w:rFonts w:hint="eastAsia" w:ascii="新宋体" w:hAnsi="新宋体" w:eastAsia="新宋体" w:cs="新宋体"/>
          <w:snapToGrid w:val="0"/>
          <w:sz w:val="32"/>
          <w:szCs w:val="32"/>
          <w:highlight w:val="none"/>
          <w:vertAlign w:val="baseline"/>
          <w:lang w:eastAsia="zh-CN"/>
        </w:rPr>
        <w:t>本行</w:t>
      </w:r>
      <w:r>
        <w:rPr>
          <w:rFonts w:hint="eastAsia" w:ascii="新宋体" w:hAnsi="新宋体" w:eastAsia="新宋体" w:cs="新宋体"/>
          <w:snapToGrid w:val="0"/>
          <w:sz w:val="32"/>
          <w:szCs w:val="32"/>
          <w:highlight w:val="none"/>
          <w:vertAlign w:val="baseline"/>
        </w:rPr>
        <w:t>的具体权利和义务由领用合约具体约定。</w:t>
      </w:r>
    </w:p>
    <w:p>
      <w:pPr>
        <w:spacing w:line="240" w:lineRule="auto"/>
        <w:ind w:firstLine="640" w:firstLineChars="200"/>
        <w:rPr>
          <w:rFonts w:ascii="新宋体" w:hAnsi="新宋体" w:eastAsia="新宋体" w:cs="新宋体"/>
          <w:snapToGrid w:val="0"/>
          <w:sz w:val="32"/>
          <w:szCs w:val="32"/>
          <w:highlight w:val="none"/>
        </w:rPr>
      </w:pPr>
      <w:r>
        <w:rPr>
          <w:rFonts w:hint="eastAsia" w:ascii="新宋体" w:hAnsi="新宋体" w:eastAsia="新宋体" w:cs="新宋体"/>
          <w:snapToGrid w:val="0"/>
          <w:sz w:val="32"/>
          <w:szCs w:val="32"/>
          <w:highlight w:val="none"/>
          <w:vertAlign w:val="baseline"/>
        </w:rPr>
        <w:t>持卡人在使用芯片卡或磁条芯片复合卡时，还应遵守该类卡的相关规定。</w:t>
      </w:r>
    </w:p>
    <w:p>
      <w:pPr>
        <w:spacing w:line="240" w:lineRule="auto"/>
        <w:ind w:firstLine="643" w:firstLineChars="200"/>
        <w:rPr>
          <w:rFonts w:ascii="新宋体" w:hAnsi="新宋体" w:eastAsia="新宋体" w:cs="新宋体"/>
          <w:b/>
          <w:snapToGrid w:val="0"/>
          <w:sz w:val="32"/>
          <w:szCs w:val="32"/>
          <w:highlight w:val="none"/>
        </w:rPr>
      </w:pPr>
      <w:r>
        <w:rPr>
          <w:rFonts w:hint="eastAsia" w:ascii="新宋体" w:hAnsi="新宋体" w:eastAsia="新宋体" w:cs="新宋体"/>
          <w:b/>
          <w:snapToGrid w:val="0"/>
          <w:sz w:val="32"/>
          <w:szCs w:val="32"/>
          <w:highlight w:val="none"/>
          <w:vertAlign w:val="baseline"/>
        </w:rPr>
        <w:t>第</w:t>
      </w:r>
      <w:r>
        <w:rPr>
          <w:rFonts w:hint="default" w:ascii="新宋体" w:hAnsi="新宋体" w:eastAsia="新宋体" w:cs="新宋体"/>
          <w:b/>
          <w:snapToGrid w:val="0"/>
          <w:sz w:val="32"/>
          <w:szCs w:val="32"/>
          <w:highlight w:val="none"/>
          <w:vertAlign w:val="baseline"/>
          <w:lang w:val="en-US"/>
        </w:rPr>
        <w:t>四十</w:t>
      </w:r>
      <w:r>
        <w:rPr>
          <w:rFonts w:hint="eastAsia" w:ascii="新宋体" w:hAnsi="新宋体" w:eastAsia="新宋体" w:cs="新宋体"/>
          <w:b/>
          <w:snapToGrid w:val="0"/>
          <w:sz w:val="32"/>
          <w:szCs w:val="32"/>
          <w:highlight w:val="none"/>
          <w:vertAlign w:val="baseline"/>
        </w:rPr>
        <w:t>条</w:t>
      </w:r>
      <w:r>
        <w:rPr>
          <w:rFonts w:hint="eastAsia" w:ascii="新宋体" w:hAnsi="新宋体" w:eastAsia="新宋体" w:cs="新宋体"/>
          <w:b/>
          <w:snapToGrid w:val="0"/>
          <w:sz w:val="32"/>
          <w:szCs w:val="32"/>
          <w:highlight w:val="none"/>
          <w:vertAlign w:val="baseline"/>
          <w:lang w:val="en-US" w:eastAsia="zh-CN"/>
        </w:rPr>
        <w:t xml:space="preserve"> </w:t>
      </w:r>
      <w:r>
        <w:rPr>
          <w:rFonts w:hint="eastAsia" w:ascii="新宋体" w:hAnsi="新宋体" w:eastAsia="新宋体" w:cs="新宋体"/>
          <w:b/>
          <w:snapToGrid w:val="0"/>
          <w:sz w:val="32"/>
          <w:szCs w:val="32"/>
          <w:highlight w:val="none"/>
          <w:vertAlign w:val="baseline"/>
        </w:rPr>
        <w:t>本章程由</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负责制定和解释。</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有权在法律法规允许的范围内对本章程进行修改，并提前以网站公告或营业网点公告方式通知持卡人。上述修改在公告期满后即于公告确定的实施日期正式生效，并对所有当事人产生约束力。如持卡人有异议，有权根据领用合约约定办理圆鼎贷记卡销户手续，如不办理销户手续，视为同意接受修改。持卡人有权就本章程要求</w:t>
      </w:r>
      <w:r>
        <w:rPr>
          <w:rFonts w:hint="eastAsia" w:ascii="新宋体" w:hAnsi="新宋体" w:eastAsia="新宋体" w:cs="新宋体"/>
          <w:b/>
          <w:snapToGrid w:val="0"/>
          <w:sz w:val="32"/>
          <w:szCs w:val="32"/>
          <w:highlight w:val="none"/>
          <w:vertAlign w:val="baseline"/>
          <w:lang w:eastAsia="zh-CN"/>
        </w:rPr>
        <w:t>本行</w:t>
      </w:r>
      <w:r>
        <w:rPr>
          <w:rFonts w:hint="eastAsia" w:ascii="新宋体" w:hAnsi="新宋体" w:eastAsia="新宋体" w:cs="新宋体"/>
          <w:b/>
          <w:snapToGrid w:val="0"/>
          <w:sz w:val="32"/>
          <w:szCs w:val="32"/>
          <w:highlight w:val="none"/>
          <w:vertAlign w:val="baseline"/>
        </w:rPr>
        <w:t>进行解释和说明，具体可通过客户服务热线（</w:t>
      </w:r>
      <w:r>
        <w:rPr>
          <w:rFonts w:ascii="新宋体" w:hAnsi="新宋体" w:eastAsia="新宋体" w:cs="新宋体"/>
          <w:b/>
          <w:snapToGrid w:val="0"/>
          <w:sz w:val="32"/>
          <w:szCs w:val="32"/>
          <w:highlight w:val="none"/>
          <w:vertAlign w:val="baseline"/>
        </w:rPr>
        <w:t>4008296008）咨询。</w:t>
      </w:r>
    </w:p>
    <w:p>
      <w:pPr>
        <w:rPr>
          <w:rFonts w:ascii="新宋体" w:hAnsi="新宋体" w:eastAsia="新宋体" w:cs="新宋体"/>
          <w:b/>
          <w:snapToGrid w:val="0"/>
          <w:sz w:val="32"/>
          <w:szCs w:val="32"/>
          <w:highlight w:val="none"/>
        </w:rPr>
      </w:pPr>
      <w:r>
        <w:rPr>
          <w:rFonts w:ascii="新宋体" w:hAnsi="新宋体" w:eastAsia="新宋体" w:cs="新宋体"/>
          <w:b/>
          <w:snapToGrid w:val="0"/>
          <w:sz w:val="32"/>
          <w:szCs w:val="32"/>
          <w:highlight w:val="none"/>
        </w:rPr>
        <w:br w:type="page"/>
      </w:r>
    </w:p>
    <w:p>
      <w:pPr>
        <w:spacing w:line="240" w:lineRule="auto"/>
        <w:ind w:firstLine="643" w:firstLineChars="200"/>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本人</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乙方</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已仔细阅读</w:t>
      </w:r>
      <w:r>
        <w:rPr>
          <w:rFonts w:hint="eastAsia" w:ascii="仿宋_GB2312" w:hAnsi="仿宋_GB2312" w:eastAsia="仿宋_GB2312" w:cs="仿宋_GB2312"/>
          <w:b/>
          <w:bCs/>
          <w:sz w:val="32"/>
          <w:szCs w:val="32"/>
          <w:highlight w:val="none"/>
          <w:lang w:val="en-US" w:eastAsia="zh-CN"/>
        </w:rPr>
        <w:t>上述章程</w:t>
      </w:r>
      <w:r>
        <w:rPr>
          <w:rFonts w:hint="eastAsia" w:ascii="仿宋_GB2312" w:hAnsi="仿宋_GB2312" w:eastAsia="仿宋_GB2312" w:cs="仿宋_GB2312"/>
          <w:b/>
          <w:bCs/>
          <w:sz w:val="32"/>
          <w:szCs w:val="32"/>
          <w:highlight w:val="none"/>
        </w:rPr>
        <w:t>各条款，</w:t>
      </w:r>
      <w:r>
        <w:rPr>
          <w:rFonts w:hint="eastAsia" w:ascii="仿宋_GB2312" w:hAnsi="仿宋_GB2312" w:eastAsia="仿宋_GB2312" w:cs="仿宋_GB2312"/>
          <w:b/>
          <w:bCs/>
          <w:sz w:val="32"/>
          <w:szCs w:val="32"/>
          <w:highlight w:val="none"/>
          <w:lang w:val="en-US" w:eastAsia="zh-CN"/>
        </w:rPr>
        <w:t>泰兴农村商业银行（</w:t>
      </w:r>
      <w:r>
        <w:rPr>
          <w:rFonts w:hint="eastAsia" w:ascii="仿宋_GB2312" w:hAnsi="仿宋_GB2312" w:eastAsia="仿宋_GB2312" w:cs="仿宋_GB2312"/>
          <w:b/>
          <w:bCs/>
          <w:sz w:val="32"/>
          <w:szCs w:val="32"/>
          <w:highlight w:val="none"/>
        </w:rPr>
        <w:t>甲方</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rPr>
        <w:t>已依法向乙方提示了相关条款（特别是含有黑体字标题或黑体字文字以及含有特殊符号的条款），甲方已应乙方要求对相关条款的概念、内容及法律效果做了说明和释明，乙方已经知悉并理解上述条款。</w:t>
      </w:r>
    </w:p>
    <w:p>
      <w:pPr>
        <w:spacing w:line="240" w:lineRule="auto"/>
        <w:ind w:firstLine="643" w:firstLineChars="200"/>
        <w:rPr>
          <w:rFonts w:hint="eastAsia" w:ascii="仿宋_GB2312" w:hAnsi="仿宋_GB2312" w:eastAsia="仿宋_GB2312" w:cs="仿宋_GB2312"/>
          <w:b/>
          <w:bCs/>
          <w:sz w:val="32"/>
          <w:szCs w:val="32"/>
          <w:highlight w:val="none"/>
        </w:rPr>
      </w:pPr>
    </w:p>
    <w:tbl>
      <w:tblPr>
        <w:tblStyle w:val="12"/>
        <w:tblW w:w="876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98"/>
        <w:gridCol w:w="2624"/>
        <w:gridCol w:w="2150"/>
        <w:gridCol w:w="18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甲方（签章）：</w:t>
            </w:r>
          </w:p>
        </w:tc>
        <w:tc>
          <w:tcPr>
            <w:tcW w:w="2624" w:type="dxa"/>
          </w:tcPr>
          <w:p>
            <w:pPr>
              <w:adjustRightInd w:val="0"/>
              <w:spacing w:line="570" w:lineRule="exact"/>
              <w:jc w:val="left"/>
              <w:rPr>
                <w:rFonts w:hint="default" w:ascii="仿宋_GB2312" w:hAnsi="仿宋_GB2312" w:eastAsia="仿宋_GB2312" w:cs="仿宋_GB2312"/>
                <w:b/>
                <w:bCs/>
                <w:sz w:val="32"/>
                <w:szCs w:val="32"/>
                <w:vertAlign w:val="baseline"/>
                <w:lang w:val="en-US" w:eastAsia="zh-CN"/>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乙方（签章）：</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p>
        </w:tc>
        <w:tc>
          <w:tcPr>
            <w:tcW w:w="2624" w:type="dxa"/>
            <w:vMerge w:val="restart"/>
          </w:tcPr>
          <w:p>
            <w:pPr>
              <w:adjustRightInd w:val="0"/>
              <w:spacing w:line="570" w:lineRule="exact"/>
              <w:jc w:val="left"/>
              <w:rPr>
                <w:rFonts w:hint="eastAsia" w:ascii="仿宋_GB2312" w:hAnsi="仿宋_GB2312" w:eastAsia="仿宋_GB2312" w:cs="仿宋_GB2312"/>
                <w:b/>
                <w:bCs/>
                <w:kern w:val="2"/>
                <w:sz w:val="28"/>
                <w:szCs w:val="28"/>
                <w:vertAlign w:val="baseline"/>
                <w:lang w:val="en-US" w:eastAsia="zh-CN" w:bidi="ar-SA"/>
              </w:rPr>
            </w:pPr>
            <w:r>
              <w:rPr>
                <w:rFonts w:hint="eastAsia" w:ascii="仿宋_GB2312" w:hAnsi="仿宋_GB2312" w:eastAsia="仿宋_GB2312" w:cs="仿宋_GB2312"/>
                <w:b/>
                <w:bCs/>
                <w:sz w:val="28"/>
                <w:szCs w:val="28"/>
                <w:vertAlign w:val="baseline"/>
                <w:lang w:val="en-US" w:eastAsia="zh-CN"/>
              </w:rPr>
              <w:t>江苏泰兴农村商业银行股份有限公司</w:t>
            </w: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098" w:type="dxa"/>
          </w:tcPr>
          <w:p>
            <w:pPr>
              <w:adjustRightInd w:val="0"/>
              <w:spacing w:line="570" w:lineRule="exact"/>
              <w:jc w:val="left"/>
              <w:rPr>
                <w:rFonts w:hint="eastAsia" w:ascii="仿宋_GB2312" w:hAnsi="仿宋_GB2312" w:eastAsia="仿宋_GB2312" w:cs="仿宋_GB2312"/>
                <w:b/>
                <w:bCs/>
                <w:sz w:val="28"/>
                <w:szCs w:val="28"/>
                <w:vertAlign w:val="baseline"/>
                <w:lang w:val="en-US" w:eastAsia="zh-CN"/>
              </w:rPr>
            </w:pPr>
          </w:p>
        </w:tc>
        <w:tc>
          <w:tcPr>
            <w:tcW w:w="2624" w:type="dxa"/>
            <w:vMerge w:val="continue"/>
            <w:shd w:val="clear" w:color="auto" w:fill="auto"/>
            <w:vAlign w:val="top"/>
          </w:tcPr>
          <w:p>
            <w:pPr>
              <w:adjustRightInd w:val="0"/>
              <w:spacing w:line="570" w:lineRule="exact"/>
              <w:jc w:val="left"/>
              <w:rPr>
                <w:rFonts w:hint="eastAsia" w:ascii="仿宋_GB2312" w:hAnsi="仿宋_GB2312" w:eastAsia="仿宋_GB2312" w:cs="仿宋_GB2312"/>
                <w:b/>
                <w:bCs/>
                <w:kern w:val="2"/>
                <w:sz w:val="28"/>
                <w:szCs w:val="28"/>
                <w:vertAlign w:val="baseline"/>
                <w:lang w:val="en-US" w:eastAsia="zh-CN" w:bidi="ar-SA"/>
              </w:rPr>
            </w:pPr>
          </w:p>
        </w:tc>
        <w:tc>
          <w:tcPr>
            <w:tcW w:w="2150" w:type="dxa"/>
          </w:tcPr>
          <w:p>
            <w:pPr>
              <w:adjustRightInd w:val="0"/>
              <w:spacing w:line="570" w:lineRule="exact"/>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手写签名：</w:t>
            </w:r>
          </w:p>
        </w:tc>
        <w:tc>
          <w:tcPr>
            <w:tcW w:w="1896" w:type="dxa"/>
          </w:tcPr>
          <w:p>
            <w:pPr>
              <w:adjustRightInd w:val="0"/>
              <w:spacing w:line="570" w:lineRule="exact"/>
              <w:jc w:val="left"/>
              <w:rPr>
                <w:rFonts w:hint="eastAsia" w:ascii="仿宋_GB2312" w:hAnsi="仿宋_GB2312" w:eastAsia="仿宋_GB2312" w:cs="仿宋_GB2312"/>
                <w:b/>
                <w:bCs/>
                <w:sz w:val="32"/>
                <w:szCs w:val="32"/>
                <w:vertAlign w:val="baseline"/>
              </w:rPr>
            </w:pPr>
          </w:p>
        </w:tc>
      </w:tr>
    </w:tbl>
    <w:p>
      <w:pPr>
        <w:spacing w:line="240" w:lineRule="auto"/>
        <w:rPr>
          <w:rFonts w:hint="eastAsia" w:ascii="新宋体" w:hAnsi="新宋体" w:eastAsia="新宋体"/>
          <w:b/>
          <w:bCs/>
          <w:sz w:val="24"/>
          <w:szCs w:val="24"/>
          <w:highlight w:val="none"/>
          <w:lang w:val="en-US" w:eastAsia="zh-CN"/>
        </w:rPr>
      </w:pPr>
    </w:p>
    <w:p>
      <w:pPr>
        <w:spacing w:line="240" w:lineRule="auto"/>
        <w:ind w:firstLine="643" w:firstLineChars="200"/>
        <w:rPr>
          <w:rFonts w:hint="eastAsia" w:ascii="新宋体" w:hAnsi="新宋体" w:eastAsia="新宋体"/>
          <w:b/>
          <w:sz w:val="32"/>
          <w:szCs w:val="32"/>
          <w:highlight w:val="none"/>
        </w:rPr>
      </w:pPr>
    </w:p>
    <w:p>
      <w:pPr>
        <w:spacing w:line="240" w:lineRule="auto"/>
        <w:ind w:firstLine="643" w:firstLineChars="200"/>
        <w:rPr>
          <w:rFonts w:hint="eastAsia" w:ascii="新宋体" w:hAnsi="新宋体" w:eastAsia="新宋体"/>
          <w:b/>
          <w:sz w:val="32"/>
          <w:szCs w:val="32"/>
          <w:highlight w:val="none"/>
        </w:rPr>
      </w:pPr>
      <w:r>
        <w:rPr>
          <w:rFonts w:hint="eastAsia" w:ascii="新宋体" w:hAnsi="新宋体" w:eastAsia="新宋体"/>
          <w:b/>
          <w:sz w:val="32"/>
          <w:szCs w:val="32"/>
          <w:highlight w:val="none"/>
        </w:rPr>
        <w:t xml:space="preserve"> </w:t>
      </w:r>
    </w:p>
    <w:p>
      <w:pPr>
        <w:spacing w:line="240" w:lineRule="auto"/>
        <w:rPr>
          <w:rFonts w:hint="eastAsia" w:ascii="新宋体" w:hAnsi="新宋体" w:eastAsia="新宋体"/>
          <w:b/>
          <w:sz w:val="32"/>
          <w:szCs w:val="32"/>
          <w:highlight w:val="none"/>
        </w:rPr>
      </w:pPr>
      <w:r>
        <w:rPr>
          <w:rFonts w:hint="eastAsia" w:ascii="新宋体" w:hAnsi="新宋体" w:eastAsia="新宋体"/>
          <w:b/>
          <w:sz w:val="32"/>
          <w:szCs w:val="32"/>
          <w:highlight w:val="none"/>
        </w:rPr>
        <w:t xml:space="preserve"> </w:t>
      </w:r>
    </w:p>
    <w:p>
      <w:pPr>
        <w:rPr>
          <w:rFonts w:hint="eastAsia"/>
          <w:highlight w:val="none"/>
        </w:rPr>
      </w:pPr>
    </w:p>
    <w:p>
      <w:pPr>
        <w:spacing w:line="240" w:lineRule="auto"/>
        <w:ind w:firstLine="0" w:firstLineChars="0"/>
        <w:rPr>
          <w:rFonts w:ascii="新宋体" w:hAnsi="新宋体" w:eastAsia="新宋体" w:cs="新宋体"/>
          <w:b/>
          <w:snapToGrid w:val="0"/>
          <w:sz w:val="32"/>
          <w:szCs w:val="32"/>
          <w:highlight w:val="none"/>
        </w:rPr>
      </w:pPr>
    </w:p>
    <w:p>
      <w:pPr>
        <w:widowControl/>
        <w:spacing w:line="240" w:lineRule="auto"/>
        <w:ind w:firstLine="640" w:firstLineChars="200"/>
        <w:jc w:val="left"/>
        <w:rPr>
          <w:rFonts w:ascii="新宋体" w:hAnsi="新宋体" w:eastAsia="新宋体" w:cs="新宋体"/>
          <w:snapToGrid w:val="0"/>
          <w:sz w:val="32"/>
          <w:szCs w:val="32"/>
          <w:highlight w:val="none"/>
        </w:rPr>
      </w:pPr>
    </w:p>
    <w:p>
      <w:pPr>
        <w:widowControl/>
        <w:spacing w:line="240" w:lineRule="auto"/>
        <w:jc w:val="left"/>
        <w:rPr>
          <w:rFonts w:ascii="新宋体" w:hAnsi="新宋体" w:eastAsia="新宋体" w:cs="新宋体"/>
          <w:snapToGrid w:val="0"/>
          <w:sz w:val="32"/>
          <w:szCs w:val="32"/>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D58136"/>
    <w:multiLevelType w:val="singleLevel"/>
    <w:tmpl w:val="DCD58136"/>
    <w:lvl w:ilvl="0" w:tentative="0">
      <w:start w:val="1"/>
      <w:numFmt w:val="decimal"/>
      <w:suff w:val="nothing"/>
      <w:lvlText w:val="%1、"/>
      <w:lvlJc w:val="left"/>
      <w:pPr>
        <w:ind w:left="3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xMGRlYTIzNDU3YTg1YjA2MjI0Yzc5MjYyOThhMWEifQ=="/>
  </w:docVars>
  <w:rsids>
    <w:rsidRoot w:val="00C81F12"/>
    <w:rsid w:val="0000418F"/>
    <w:rsid w:val="00004EB7"/>
    <w:rsid w:val="00010165"/>
    <w:rsid w:val="00020DBA"/>
    <w:rsid w:val="000223A6"/>
    <w:rsid w:val="00024833"/>
    <w:rsid w:val="000345CC"/>
    <w:rsid w:val="00060BC8"/>
    <w:rsid w:val="000960C1"/>
    <w:rsid w:val="000B3B57"/>
    <w:rsid w:val="000B4B8A"/>
    <w:rsid w:val="000C1DE0"/>
    <w:rsid w:val="000D33A3"/>
    <w:rsid w:val="000E13A6"/>
    <w:rsid w:val="000E25B1"/>
    <w:rsid w:val="00106EC9"/>
    <w:rsid w:val="00135A7D"/>
    <w:rsid w:val="0016374F"/>
    <w:rsid w:val="00177048"/>
    <w:rsid w:val="001839C1"/>
    <w:rsid w:val="001E4ADD"/>
    <w:rsid w:val="00212D69"/>
    <w:rsid w:val="00226F06"/>
    <w:rsid w:val="00234775"/>
    <w:rsid w:val="002414CF"/>
    <w:rsid w:val="0025085F"/>
    <w:rsid w:val="00261457"/>
    <w:rsid w:val="00294F11"/>
    <w:rsid w:val="002C708C"/>
    <w:rsid w:val="002D2E9E"/>
    <w:rsid w:val="002F384D"/>
    <w:rsid w:val="002F71C7"/>
    <w:rsid w:val="0031012B"/>
    <w:rsid w:val="00314149"/>
    <w:rsid w:val="00317A12"/>
    <w:rsid w:val="00321C6A"/>
    <w:rsid w:val="003247B1"/>
    <w:rsid w:val="0032487F"/>
    <w:rsid w:val="0033541D"/>
    <w:rsid w:val="0033613F"/>
    <w:rsid w:val="003408F1"/>
    <w:rsid w:val="00362B4C"/>
    <w:rsid w:val="00371514"/>
    <w:rsid w:val="003B120B"/>
    <w:rsid w:val="003C7512"/>
    <w:rsid w:val="003D0E88"/>
    <w:rsid w:val="003D67B6"/>
    <w:rsid w:val="003E43E9"/>
    <w:rsid w:val="003E7313"/>
    <w:rsid w:val="003F056A"/>
    <w:rsid w:val="003F2B8C"/>
    <w:rsid w:val="00401F55"/>
    <w:rsid w:val="00436E5F"/>
    <w:rsid w:val="00462426"/>
    <w:rsid w:val="00462A84"/>
    <w:rsid w:val="00463D94"/>
    <w:rsid w:val="00467DD8"/>
    <w:rsid w:val="00477678"/>
    <w:rsid w:val="004776E5"/>
    <w:rsid w:val="0048147F"/>
    <w:rsid w:val="004A46A9"/>
    <w:rsid w:val="004A470A"/>
    <w:rsid w:val="0052688F"/>
    <w:rsid w:val="00530A2B"/>
    <w:rsid w:val="0053537E"/>
    <w:rsid w:val="00567B9F"/>
    <w:rsid w:val="005753F5"/>
    <w:rsid w:val="00595C29"/>
    <w:rsid w:val="005A5264"/>
    <w:rsid w:val="005B430A"/>
    <w:rsid w:val="005C7F0B"/>
    <w:rsid w:val="005F3A73"/>
    <w:rsid w:val="005F4D8A"/>
    <w:rsid w:val="00601C49"/>
    <w:rsid w:val="00617576"/>
    <w:rsid w:val="00631B6F"/>
    <w:rsid w:val="006466F7"/>
    <w:rsid w:val="006C4BB0"/>
    <w:rsid w:val="006D653C"/>
    <w:rsid w:val="006E22DD"/>
    <w:rsid w:val="006F2F91"/>
    <w:rsid w:val="006F3551"/>
    <w:rsid w:val="00713F5B"/>
    <w:rsid w:val="00737873"/>
    <w:rsid w:val="007402C9"/>
    <w:rsid w:val="00741F2E"/>
    <w:rsid w:val="00760ED3"/>
    <w:rsid w:val="007C403C"/>
    <w:rsid w:val="007C5FB9"/>
    <w:rsid w:val="007D147C"/>
    <w:rsid w:val="00810845"/>
    <w:rsid w:val="00845098"/>
    <w:rsid w:val="008717F8"/>
    <w:rsid w:val="00882E11"/>
    <w:rsid w:val="008832B2"/>
    <w:rsid w:val="00897F9B"/>
    <w:rsid w:val="008A7B84"/>
    <w:rsid w:val="008B2446"/>
    <w:rsid w:val="00912060"/>
    <w:rsid w:val="00952C98"/>
    <w:rsid w:val="00962970"/>
    <w:rsid w:val="009657A8"/>
    <w:rsid w:val="00971807"/>
    <w:rsid w:val="00995382"/>
    <w:rsid w:val="00997138"/>
    <w:rsid w:val="009B32C3"/>
    <w:rsid w:val="009B33D3"/>
    <w:rsid w:val="009C355A"/>
    <w:rsid w:val="009E008F"/>
    <w:rsid w:val="009E2BDC"/>
    <w:rsid w:val="009F5C69"/>
    <w:rsid w:val="00A1300D"/>
    <w:rsid w:val="00A15C1A"/>
    <w:rsid w:val="00A21F56"/>
    <w:rsid w:val="00A420EF"/>
    <w:rsid w:val="00A62212"/>
    <w:rsid w:val="00A7574D"/>
    <w:rsid w:val="00A96AA0"/>
    <w:rsid w:val="00AB07EA"/>
    <w:rsid w:val="00AC7D72"/>
    <w:rsid w:val="00B06ED1"/>
    <w:rsid w:val="00B10698"/>
    <w:rsid w:val="00B136AF"/>
    <w:rsid w:val="00B35FDF"/>
    <w:rsid w:val="00B37548"/>
    <w:rsid w:val="00B5668B"/>
    <w:rsid w:val="00B86712"/>
    <w:rsid w:val="00BA466D"/>
    <w:rsid w:val="00BB415A"/>
    <w:rsid w:val="00BC07ED"/>
    <w:rsid w:val="00BF0804"/>
    <w:rsid w:val="00C0007C"/>
    <w:rsid w:val="00C05202"/>
    <w:rsid w:val="00C06570"/>
    <w:rsid w:val="00C53098"/>
    <w:rsid w:val="00C672DC"/>
    <w:rsid w:val="00C70F68"/>
    <w:rsid w:val="00C81F12"/>
    <w:rsid w:val="00C9139F"/>
    <w:rsid w:val="00CA7761"/>
    <w:rsid w:val="00CB1004"/>
    <w:rsid w:val="00CD54EA"/>
    <w:rsid w:val="00CD7D85"/>
    <w:rsid w:val="00CE4F18"/>
    <w:rsid w:val="00D454E1"/>
    <w:rsid w:val="00DA6263"/>
    <w:rsid w:val="00DC1216"/>
    <w:rsid w:val="00DD686D"/>
    <w:rsid w:val="00DE0A14"/>
    <w:rsid w:val="00E34585"/>
    <w:rsid w:val="00E47EAB"/>
    <w:rsid w:val="00ED35EC"/>
    <w:rsid w:val="00F02466"/>
    <w:rsid w:val="00F3187A"/>
    <w:rsid w:val="00F3449D"/>
    <w:rsid w:val="00F607F6"/>
    <w:rsid w:val="00F7762F"/>
    <w:rsid w:val="00F84525"/>
    <w:rsid w:val="00FC0C27"/>
    <w:rsid w:val="00FC6546"/>
    <w:rsid w:val="00FD707B"/>
    <w:rsid w:val="00FD718D"/>
    <w:rsid w:val="00FE7B94"/>
    <w:rsid w:val="0183453D"/>
    <w:rsid w:val="019422A6"/>
    <w:rsid w:val="01AE3368"/>
    <w:rsid w:val="026223A4"/>
    <w:rsid w:val="02E1151B"/>
    <w:rsid w:val="03BD5AE4"/>
    <w:rsid w:val="03EA4111"/>
    <w:rsid w:val="041A3E26"/>
    <w:rsid w:val="04C05984"/>
    <w:rsid w:val="04CF3A56"/>
    <w:rsid w:val="05455D70"/>
    <w:rsid w:val="05A3483C"/>
    <w:rsid w:val="064222D0"/>
    <w:rsid w:val="08395955"/>
    <w:rsid w:val="09560D5F"/>
    <w:rsid w:val="09860273"/>
    <w:rsid w:val="09BD107C"/>
    <w:rsid w:val="0A0E27E9"/>
    <w:rsid w:val="0ADE707E"/>
    <w:rsid w:val="0AEC576F"/>
    <w:rsid w:val="0BF75B37"/>
    <w:rsid w:val="0CA6683C"/>
    <w:rsid w:val="0DD5144B"/>
    <w:rsid w:val="103D00A5"/>
    <w:rsid w:val="10CE3B25"/>
    <w:rsid w:val="10EC17B7"/>
    <w:rsid w:val="119C1DC5"/>
    <w:rsid w:val="1232769D"/>
    <w:rsid w:val="12902616"/>
    <w:rsid w:val="129B561F"/>
    <w:rsid w:val="13336E8C"/>
    <w:rsid w:val="14005579"/>
    <w:rsid w:val="148F24A0"/>
    <w:rsid w:val="15A72150"/>
    <w:rsid w:val="15FD4466"/>
    <w:rsid w:val="17091C97"/>
    <w:rsid w:val="17B40B54"/>
    <w:rsid w:val="184B7E93"/>
    <w:rsid w:val="18F91E67"/>
    <w:rsid w:val="19A05834"/>
    <w:rsid w:val="19FF64B5"/>
    <w:rsid w:val="1B0F2D62"/>
    <w:rsid w:val="1D2D5631"/>
    <w:rsid w:val="1DCB6BF8"/>
    <w:rsid w:val="1DEC729A"/>
    <w:rsid w:val="1E497904"/>
    <w:rsid w:val="1EA35510"/>
    <w:rsid w:val="1F0B7BF4"/>
    <w:rsid w:val="1F5C21FD"/>
    <w:rsid w:val="1F686DF4"/>
    <w:rsid w:val="1FBE07C2"/>
    <w:rsid w:val="1FE67D19"/>
    <w:rsid w:val="1FF73CD4"/>
    <w:rsid w:val="20411ADF"/>
    <w:rsid w:val="219A525F"/>
    <w:rsid w:val="21E978B6"/>
    <w:rsid w:val="25CE54D7"/>
    <w:rsid w:val="26102E9E"/>
    <w:rsid w:val="295B3526"/>
    <w:rsid w:val="2B872367"/>
    <w:rsid w:val="2D2B0CAE"/>
    <w:rsid w:val="2DD1025A"/>
    <w:rsid w:val="320E7019"/>
    <w:rsid w:val="32AD1BE3"/>
    <w:rsid w:val="32BA306B"/>
    <w:rsid w:val="337820FF"/>
    <w:rsid w:val="34592CA4"/>
    <w:rsid w:val="34B32468"/>
    <w:rsid w:val="352275ED"/>
    <w:rsid w:val="365C2BAC"/>
    <w:rsid w:val="382E4D93"/>
    <w:rsid w:val="3AAA1C17"/>
    <w:rsid w:val="3B262ECF"/>
    <w:rsid w:val="3B862684"/>
    <w:rsid w:val="3B8D500F"/>
    <w:rsid w:val="3C3A346E"/>
    <w:rsid w:val="3D6407A3"/>
    <w:rsid w:val="3DF31B27"/>
    <w:rsid w:val="3E2E064A"/>
    <w:rsid w:val="3E416B4F"/>
    <w:rsid w:val="3F520ACF"/>
    <w:rsid w:val="3FA101BC"/>
    <w:rsid w:val="42310E70"/>
    <w:rsid w:val="42642FF3"/>
    <w:rsid w:val="42784CF1"/>
    <w:rsid w:val="43FB1F87"/>
    <w:rsid w:val="48540176"/>
    <w:rsid w:val="485F1E79"/>
    <w:rsid w:val="486D1E5A"/>
    <w:rsid w:val="497D4D32"/>
    <w:rsid w:val="49D22F38"/>
    <w:rsid w:val="4A6A3171"/>
    <w:rsid w:val="4B8E52B1"/>
    <w:rsid w:val="4BED5E07"/>
    <w:rsid w:val="4E125FF9"/>
    <w:rsid w:val="4F05531B"/>
    <w:rsid w:val="506A5C79"/>
    <w:rsid w:val="511D718F"/>
    <w:rsid w:val="512403B0"/>
    <w:rsid w:val="51DF4438"/>
    <w:rsid w:val="52754DA9"/>
    <w:rsid w:val="52C04276"/>
    <w:rsid w:val="52E8557B"/>
    <w:rsid w:val="53A019B1"/>
    <w:rsid w:val="54D0407F"/>
    <w:rsid w:val="554F7B33"/>
    <w:rsid w:val="58210401"/>
    <w:rsid w:val="58900246"/>
    <w:rsid w:val="59396B30"/>
    <w:rsid w:val="59F12F67"/>
    <w:rsid w:val="5B751975"/>
    <w:rsid w:val="5D2673CB"/>
    <w:rsid w:val="5EE56D90"/>
    <w:rsid w:val="5FF65A36"/>
    <w:rsid w:val="60F7637B"/>
    <w:rsid w:val="614442C4"/>
    <w:rsid w:val="61CF1B0E"/>
    <w:rsid w:val="625B68E6"/>
    <w:rsid w:val="642D54E3"/>
    <w:rsid w:val="656876D1"/>
    <w:rsid w:val="65E3290E"/>
    <w:rsid w:val="66A82BFF"/>
    <w:rsid w:val="67E22987"/>
    <w:rsid w:val="69912070"/>
    <w:rsid w:val="69D72179"/>
    <w:rsid w:val="6A244321"/>
    <w:rsid w:val="6ACC2D25"/>
    <w:rsid w:val="6ACD017C"/>
    <w:rsid w:val="6B144D07"/>
    <w:rsid w:val="6B1C51D6"/>
    <w:rsid w:val="6B994E86"/>
    <w:rsid w:val="6BC444BC"/>
    <w:rsid w:val="6F8D32DA"/>
    <w:rsid w:val="6FB36A73"/>
    <w:rsid w:val="71EA7228"/>
    <w:rsid w:val="72FF5977"/>
    <w:rsid w:val="73591E51"/>
    <w:rsid w:val="73EF00BF"/>
    <w:rsid w:val="75214BEA"/>
    <w:rsid w:val="77ED2E5B"/>
    <w:rsid w:val="7918098E"/>
    <w:rsid w:val="795A422D"/>
    <w:rsid w:val="7A6C3707"/>
    <w:rsid w:val="7C0753DB"/>
    <w:rsid w:val="7D8201F6"/>
    <w:rsid w:val="7E0E55E6"/>
    <w:rsid w:val="7E3C65F7"/>
    <w:rsid w:val="7E7062A0"/>
    <w:rsid w:val="7FE405C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footnote text"/>
    <w:basedOn w:val="1"/>
    <w:link w:val="15"/>
    <w:semiHidden/>
    <w:unhideWhenUsed/>
    <w:qFormat/>
    <w:uiPriority w:val="99"/>
    <w:pPr>
      <w:snapToGrid w:val="0"/>
      <w:jc w:val="left"/>
    </w:pPr>
    <w:rPr>
      <w:sz w:val="18"/>
      <w:szCs w:val="18"/>
    </w:rPr>
  </w:style>
  <w:style w:type="paragraph" w:styleId="7">
    <w:name w:val="Normal (Web)"/>
    <w:basedOn w:val="1"/>
    <w:unhideWhenUsed/>
    <w:qFormat/>
    <w:uiPriority w:val="0"/>
    <w:pPr>
      <w:widowControl/>
      <w:spacing w:line="480" w:lineRule="auto"/>
      <w:jc w:val="left"/>
    </w:pPr>
    <w:rPr>
      <w:rFonts w:ascii="宋体" w:hAnsi="宋体" w:cs="宋体"/>
      <w:kern w:val="0"/>
      <w:sz w:val="24"/>
      <w:szCs w:val="24"/>
    </w:rPr>
  </w:style>
  <w:style w:type="character" w:styleId="9">
    <w:name w:val="annotation reference"/>
    <w:basedOn w:val="8"/>
    <w:semiHidden/>
    <w:unhideWhenUsed/>
    <w:qFormat/>
    <w:uiPriority w:val="99"/>
    <w:rPr>
      <w:sz w:val="21"/>
      <w:szCs w:val="21"/>
    </w:rPr>
  </w:style>
  <w:style w:type="character" w:styleId="10">
    <w:name w:val="footnote reference"/>
    <w:semiHidden/>
    <w:unhideWhenUsed/>
    <w:qFormat/>
    <w:uiPriority w:val="99"/>
    <w:rPr>
      <w:vertAlign w:val="superscript"/>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页眉 Char"/>
    <w:basedOn w:val="8"/>
    <w:link w:val="5"/>
    <w:qFormat/>
    <w:uiPriority w:val="99"/>
    <w:rPr>
      <w:sz w:val="18"/>
      <w:szCs w:val="18"/>
    </w:rPr>
  </w:style>
  <w:style w:type="character" w:customStyle="1" w:styleId="14">
    <w:name w:val="页脚 Char"/>
    <w:basedOn w:val="8"/>
    <w:link w:val="4"/>
    <w:qFormat/>
    <w:uiPriority w:val="99"/>
    <w:rPr>
      <w:sz w:val="18"/>
      <w:szCs w:val="18"/>
    </w:rPr>
  </w:style>
  <w:style w:type="character" w:customStyle="1" w:styleId="15">
    <w:name w:val="脚注文本 Char"/>
    <w:basedOn w:val="8"/>
    <w:link w:val="6"/>
    <w:semiHidden/>
    <w:qFormat/>
    <w:uiPriority w:val="99"/>
    <w:rPr>
      <w:rFonts w:ascii="Calibri" w:hAnsi="Calibri" w:eastAsia="宋体" w:cs="Times New Roman"/>
      <w:sz w:val="18"/>
      <w:szCs w:val="18"/>
    </w:rPr>
  </w:style>
  <w:style w:type="paragraph" w:customStyle="1" w:styleId="1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7">
    <w:name w:val="批注框文本 Char"/>
    <w:basedOn w:val="8"/>
    <w:link w:val="3"/>
    <w:semiHidden/>
    <w:qFormat/>
    <w:uiPriority w:val="99"/>
    <w:rPr>
      <w:rFonts w:ascii="Calibri" w:hAnsi="Calibri" w:eastAsia="宋体" w:cs="Times New Roman"/>
      <w:sz w:val="18"/>
      <w:szCs w:val="18"/>
    </w:rPr>
  </w:style>
  <w:style w:type="paragraph" w:customStyle="1" w:styleId="18">
    <w:name w:val="修订1"/>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7738</Words>
  <Characters>7781</Characters>
  <Lines>55</Lines>
  <Paragraphs>15</Paragraphs>
  <TotalTime>6</TotalTime>
  <ScaleCrop>false</ScaleCrop>
  <LinksUpToDate>false</LinksUpToDate>
  <CharactersWithSpaces>7841</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2023-02-20T07:58:00Z</dcterms:created>
  <dc:creator>yuemujuan</dc:creator>
  <cp:lastModifiedBy>陈玮</cp:lastModifiedBy>
  <cp:lastPrinted>2022-11-17T00:21:00Z</cp:lastPrinted>
  <dcterms:modified xsi:type="dcterms:W3CDTF">2025-12-16T02:23:28Z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BDE67041C01B40A6A6B94FBF94B4EBD6_13</vt:lpwstr>
  </property>
  <property fmtid="{D5CDD505-2E9C-101B-9397-08002B2CF9AE}" pid="4" name="KSOTemplateDocerSaveRecord">
    <vt:lpwstr>eyJoZGlkIjoiZDUxNmMxZjgzNDM0MDMyYmJjYjRiYzExNThlODQwNDUiLCJ1c2VySWQiOiI0MzMzNDI2MTgifQ==</vt:lpwstr>
  </property>
</Properties>
</file>